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76" w:lineRule="atLeast"/>
        <w:ind w:firstLine="720" w:firstLineChars="200"/>
        <w:jc w:val="center"/>
        <w:rPr>
          <w:rFonts w:hint="eastAsia" w:ascii="华文中宋" w:hAnsi="华文中宋" w:eastAsia="华文中宋"/>
          <w:sz w:val="36"/>
          <w:szCs w:val="36"/>
        </w:rPr>
      </w:pPr>
      <w:bookmarkStart w:id="0" w:name="YS060100"/>
      <w:bookmarkStart w:id="1" w:name="第七部分部门决算分析报告撰写提纲"/>
    </w:p>
    <w:p>
      <w:pPr>
        <w:pStyle w:val="6"/>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6"/>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6"/>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p>
    <w:p>
      <w:pPr>
        <w:pStyle w:val="6"/>
        <w:widowControl w:val="0"/>
        <w:suppressAutoHyphens/>
        <w:bidi w:val="0"/>
        <w:spacing w:before="0" w:beforeAutospacing="0" w:after="140" w:afterAutospacing="0" w:line="276" w:lineRule="auto"/>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2023年度广元市金融工作局部门决算</w:t>
      </w:r>
    </w:p>
    <w:bookmarkEnd w:id="0"/>
    <w:p>
      <w:pPr>
        <w:keepNext w:val="0"/>
        <w:keepLines w:val="0"/>
        <w:pageBreakBefore w:val="0"/>
        <w:kinsoku/>
        <w:wordWrap/>
        <w:overflowPunct/>
        <w:topLinePunct w:val="0"/>
        <w:autoSpaceDE/>
        <w:autoSpaceDN/>
        <w:bidi w:val="0"/>
        <w:adjustRightInd/>
        <w:snapToGrid w:val="0"/>
        <w:spacing w:line="576" w:lineRule="atLeast"/>
        <w:ind w:firstLine="640" w:firstLineChars="200"/>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pStyle w:val="6"/>
        <w:rPr>
          <w:rFonts w:hint="eastAsia" w:ascii="仿宋_GB2312" w:hAnsi="仿宋" w:eastAsia="仿宋_GB2312"/>
          <w:sz w:val="32"/>
          <w:szCs w:val="32"/>
        </w:rPr>
      </w:pPr>
    </w:p>
    <w:p>
      <w:pPr>
        <w:widowControl/>
        <w:jc w:val="center"/>
        <w:rPr>
          <w:rFonts w:ascii="黑体" w:hAnsi="黑体" w:eastAsia="黑体" w:cs="Times New Roman"/>
          <w:color w:val="auto"/>
          <w:sz w:val="28"/>
          <w:szCs w:val="28"/>
          <w:highlight w:val="none"/>
        </w:rPr>
      </w:pPr>
      <w:r>
        <w:rPr>
          <w:rFonts w:hint="eastAsia" w:ascii="黑体" w:hAnsi="黑体" w:eastAsia="黑体"/>
          <w:color w:val="auto"/>
          <w:sz w:val="48"/>
          <w:szCs w:val="48"/>
          <w:highlight w:val="none"/>
        </w:rPr>
        <w:t>目录</w:t>
      </w:r>
    </w:p>
    <w:p>
      <w:pPr>
        <w:pStyle w:val="11"/>
        <w:rPr>
          <w:rFonts w:hint="eastAsia" w:eastAsia="仿宋"/>
          <w:color w:val="auto"/>
          <w:highlight w:val="none"/>
          <w:lang w:eastAsia="zh-CN"/>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10月2日</w:t>
      </w:r>
    </w:p>
    <w:p>
      <w:pPr>
        <w:rPr>
          <w:color w:val="auto"/>
          <w:highlight w:val="none"/>
        </w:rPr>
      </w:pPr>
    </w:p>
    <w:sdt>
      <w:sdtPr>
        <w:rPr>
          <w:rFonts w:ascii="宋体" w:hAnsi="宋体" w:eastAsia="宋体" w:cs="Times New Roman"/>
          <w:kern w:val="2"/>
          <w:sz w:val="21"/>
          <w:szCs w:val="24"/>
          <w:lang w:val="en-US" w:eastAsia="zh-CN" w:bidi="ar-SA"/>
        </w:rPr>
        <w:id w:val="98368882"/>
        <w15:color w:val="DBDBDB"/>
        <w:docPartObj>
          <w:docPartGallery w:val="Table of Contents"/>
          <w:docPartUnique/>
        </w:docPartObj>
      </w:sdtPr>
      <w:sdtEndPr>
        <w:rPr>
          <w:rFonts w:hint="eastAsia" w:ascii="宋体" w:hAnsi="宋体" w:eastAsia="宋体" w:cs="宋体"/>
          <w:color w:val="auto"/>
          <w:kern w:val="2"/>
          <w:sz w:val="24"/>
          <w:szCs w:val="24"/>
          <w:highlight w:val="none"/>
          <w:lang w:val="en-US" w:eastAsia="zh-CN" w:bidi="ar-SA"/>
        </w:rPr>
      </w:sdtEndPr>
      <w:sdtContent>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Theme="minorEastAsia" w:hAnsiTheme="minorEastAsia" w:eastAsiaTheme="minorEastAsia" w:cstheme="minorEastAsia"/>
              <w:sz w:val="24"/>
              <w:szCs w:val="24"/>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_Toc1689228272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 xml:space="preserve">第一部分 </w:t>
          </w:r>
          <w:r>
            <w:rPr>
              <w:rFonts w:hint="eastAsia" w:asciiTheme="minorEastAsia" w:hAnsiTheme="minorEastAsia" w:eastAsiaTheme="minorEastAsia" w:cstheme="minorEastAsia"/>
              <w:sz w:val="24"/>
              <w:szCs w:val="24"/>
              <w:highlight w:val="none"/>
              <w:lang w:eastAsia="zh-CN"/>
            </w:rPr>
            <w:t>部门</w:t>
          </w:r>
          <w:r>
            <w:rPr>
              <w:rFonts w:hint="eastAsia" w:asciiTheme="minorEastAsia" w:hAnsiTheme="minorEastAsia" w:eastAsiaTheme="minorEastAsia" w:cstheme="minorEastAsia"/>
              <w:bCs w:val="0"/>
              <w:sz w:val="24"/>
              <w:szCs w:val="24"/>
              <w:highlight w:val="none"/>
            </w:rPr>
            <w:t>概况</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_Toc1689228272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_Toc1231382859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lang w:eastAsia="zh-CN"/>
            </w:rPr>
            <w:t>一、</w:t>
          </w:r>
          <w:r>
            <w:rPr>
              <w:rFonts w:hint="eastAsia" w:asciiTheme="minorEastAsia" w:hAnsiTheme="minorEastAsia" w:eastAsiaTheme="minorEastAsia" w:cstheme="minorEastAsia"/>
              <w:bCs w:val="0"/>
              <w:sz w:val="24"/>
              <w:szCs w:val="24"/>
              <w:highlight w:val="none"/>
              <w:lang w:eastAsia="zh-CN"/>
            </w:rPr>
            <w:t>部门职责</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_Toc1231382859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_Toc767546216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lang w:eastAsia="zh-CN"/>
            </w:rPr>
            <w:t>二、</w:t>
          </w:r>
          <w:r>
            <w:rPr>
              <w:rFonts w:hint="eastAsia" w:asciiTheme="minorEastAsia" w:hAnsiTheme="minorEastAsia" w:eastAsiaTheme="minorEastAsia" w:cstheme="minorEastAsia"/>
              <w:bCs w:val="0"/>
              <w:sz w:val="24"/>
              <w:szCs w:val="24"/>
            </w:rPr>
            <w:t>机构</w:t>
          </w:r>
          <w:r>
            <w:rPr>
              <w:rFonts w:hint="eastAsia" w:asciiTheme="minorEastAsia" w:hAnsiTheme="minorEastAsia" w:eastAsiaTheme="minorEastAsia" w:cstheme="minorEastAsia"/>
              <w:bCs w:val="0"/>
              <w:sz w:val="24"/>
              <w:szCs w:val="24"/>
              <w:lang w:eastAsia="zh-CN"/>
            </w:rPr>
            <w:t>设置</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_Toc767546216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_Toc1839792005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kern w:val="44"/>
              <w:sz w:val="24"/>
              <w:szCs w:val="24"/>
              <w:highlight w:val="none"/>
            </w:rPr>
            <w:t xml:space="preserve">第二部分 </w:t>
          </w:r>
          <w:r>
            <w:rPr>
              <w:rFonts w:hint="eastAsia" w:asciiTheme="minorEastAsia" w:hAnsiTheme="minorEastAsia" w:eastAsiaTheme="minorEastAsia" w:cstheme="minorEastAsia"/>
              <w:bCs/>
              <w:kern w:val="44"/>
              <w:sz w:val="24"/>
              <w:szCs w:val="24"/>
              <w:highlight w:val="none"/>
              <w:lang w:val="en-US" w:eastAsia="zh-CN"/>
            </w:rPr>
            <w:t>2023年度</w:t>
          </w:r>
          <w:r>
            <w:rPr>
              <w:rFonts w:hint="eastAsia" w:asciiTheme="minorEastAsia" w:hAnsiTheme="minorEastAsia" w:eastAsiaTheme="minorEastAsia" w:cstheme="minorEastAsia"/>
              <w:bCs/>
              <w:sz w:val="24"/>
              <w:szCs w:val="24"/>
              <w:highlight w:val="none"/>
              <w:lang w:eastAsia="zh-CN"/>
            </w:rPr>
            <w:t>部门</w:t>
          </w:r>
          <w:r>
            <w:rPr>
              <w:rFonts w:hint="eastAsia" w:asciiTheme="minorEastAsia" w:hAnsiTheme="minorEastAsia" w:eastAsiaTheme="minorEastAsia" w:cstheme="minorEastAsia"/>
              <w:bCs/>
              <w:sz w:val="24"/>
              <w:szCs w:val="24"/>
              <w:highlight w:val="none"/>
            </w:rPr>
            <w:t>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_Toc1839792005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_Toc2129722482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一、</w:t>
          </w:r>
          <w:r>
            <w:rPr>
              <w:rFonts w:hint="eastAsia" w:asciiTheme="minorEastAsia" w:hAnsiTheme="minorEastAsia" w:eastAsiaTheme="minorEastAsia" w:cstheme="minorEastAsia"/>
              <w:sz w:val="24"/>
              <w:szCs w:val="24"/>
              <w:highlight w:val="none"/>
            </w:rPr>
            <w:t>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_Toc2129722482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_Toc1945077614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二、</w:t>
          </w:r>
          <w:r>
            <w:rPr>
              <w:rFonts w:hint="eastAsia" w:asciiTheme="minorEastAsia" w:hAnsiTheme="minorEastAsia" w:eastAsiaTheme="minorEastAsia" w:cstheme="minorEastAsia"/>
              <w:sz w:val="24"/>
              <w:szCs w:val="24"/>
              <w:highlight w:val="none"/>
            </w:rPr>
            <w:t>收入决算情况说明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_Toc1945077614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_Toc841274770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三、</w:t>
          </w:r>
          <w:r>
            <w:rPr>
              <w:rFonts w:hint="eastAsia" w:asciiTheme="minorEastAsia" w:hAnsiTheme="minorEastAsia" w:eastAsiaTheme="minorEastAsia" w:cstheme="minorEastAsia"/>
              <w:sz w:val="24"/>
              <w:szCs w:val="24"/>
              <w:highlight w:val="none"/>
            </w:rPr>
            <w:t>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_Toc841274770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_Toc731960567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四、</w:t>
          </w:r>
          <w:r>
            <w:rPr>
              <w:rFonts w:hint="eastAsia" w:asciiTheme="minorEastAsia" w:hAnsiTheme="minorEastAsia" w:eastAsiaTheme="minorEastAsia" w:cstheme="minorEastAsia"/>
              <w:sz w:val="24"/>
              <w:szCs w:val="24"/>
              <w:highlight w:val="none"/>
            </w:rPr>
            <w:t>财政拨款收入支出决算总体情况说明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_Toc731960567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_Toc2093228139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五、 </w:t>
          </w:r>
          <w:r>
            <w:rPr>
              <w:rFonts w:hint="eastAsia" w:asciiTheme="minorEastAsia" w:hAnsiTheme="minorEastAsia" w:eastAsiaTheme="minorEastAsia" w:cstheme="minorEastAsia"/>
              <w:sz w:val="24"/>
              <w:szCs w:val="24"/>
              <w:highlight w:val="none"/>
            </w:rPr>
            <w:t>一般公共预算财政拨款支出决算情况说明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_Toc2093228139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_Toc710782743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六、一般公共预算财政拨款基本支出决算情况说明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_Toc710782743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_Toc921647354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七、财政拨款“三公”经费支出决算情况说明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_Toc921647354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_Toc1469991429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八、政府性基金预算支出决算情况说明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_Toc1469991429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10</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_Toc30108052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九、 </w:t>
          </w:r>
          <w:r>
            <w:rPr>
              <w:rFonts w:hint="eastAsia" w:asciiTheme="minorEastAsia" w:hAnsiTheme="minorEastAsia" w:eastAsiaTheme="minorEastAsia" w:cstheme="minorEastAsia"/>
              <w:sz w:val="24"/>
              <w:szCs w:val="24"/>
              <w:highlight w:val="none"/>
            </w:rPr>
            <w:t>国有资本经营预算支出决算情况说明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_Toc30108052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_Toc1400027206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十、 </w:t>
          </w:r>
          <w:r>
            <w:rPr>
              <w:rFonts w:hint="eastAsia" w:asciiTheme="minorEastAsia" w:hAnsiTheme="minorEastAsia" w:eastAsiaTheme="minorEastAsia" w:cstheme="minorEastAsia"/>
              <w:sz w:val="24"/>
              <w:szCs w:val="24"/>
              <w:highlight w:val="none"/>
            </w:rPr>
            <w:t>其他重要事项的情况说明</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_Toc1400027206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11</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_Toc807538311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lang w:eastAsia="zh-CN"/>
            </w:rPr>
            <w:t>第三部分</w:t>
          </w:r>
          <w:r>
            <w:rPr>
              <w:rFonts w:hint="eastAsia" w:asciiTheme="minorEastAsia" w:hAnsiTheme="minorEastAsia" w:eastAsiaTheme="minorEastAsia" w:cstheme="minorEastAsia"/>
              <w:sz w:val="24"/>
              <w:szCs w:val="24"/>
              <w:highlight w:val="none"/>
              <w:lang w:val="en-US" w:eastAsia="zh-CN"/>
            </w:rPr>
            <w:t xml:space="preserve">  </w:t>
          </w:r>
          <w:r>
            <w:rPr>
              <w:rFonts w:hint="eastAsia" w:asciiTheme="minorEastAsia" w:hAnsiTheme="minorEastAsia" w:eastAsiaTheme="minorEastAsia" w:cstheme="minorEastAsia"/>
              <w:sz w:val="24"/>
              <w:szCs w:val="24"/>
              <w:highlight w:val="none"/>
            </w:rPr>
            <w:t>名词解释</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_Toc807538311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13</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_Toc1147824455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rPr>
            <w:t xml:space="preserve">第四部分 </w:t>
          </w:r>
          <w:r>
            <w:rPr>
              <w:rFonts w:hint="eastAsia" w:asciiTheme="minorEastAsia" w:hAnsiTheme="minorEastAsia" w:eastAsiaTheme="minorEastAsia" w:cstheme="minorEastAsia"/>
              <w:sz w:val="24"/>
              <w:szCs w:val="24"/>
              <w:highlight w:val="none"/>
            </w:rPr>
            <w:t>附件</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_Toc1147824455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15</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eastAsiaTheme="minorEastAsia"/>
              <w:lang w:val="en-US" w:eastAsia="zh-CN"/>
            </w:rPr>
          </w:pPr>
          <w:r>
            <w:rPr>
              <w:rFonts w:hint="eastAsia" w:asciiTheme="minorEastAsia" w:hAnsiTheme="minorEastAsia" w:eastAsiaTheme="minorEastAsia" w:cstheme="minorEastAsia"/>
              <w:sz w:val="24"/>
              <w:szCs w:val="24"/>
            </w:rPr>
            <w:t>第</w:t>
          </w:r>
          <w:r>
            <w:rPr>
              <w:rFonts w:hint="eastAsia" w:asciiTheme="minorEastAsia" w:hAnsiTheme="minorEastAsia" w:eastAsiaTheme="minorEastAsia" w:cstheme="minorEastAsia"/>
              <w:sz w:val="24"/>
              <w:szCs w:val="24"/>
              <w:lang w:eastAsia="zh-CN"/>
            </w:rPr>
            <w:t>五</w:t>
          </w:r>
          <w:r>
            <w:rPr>
              <w:rFonts w:hint="eastAsia" w:asciiTheme="minorEastAsia" w:hAnsiTheme="minorEastAsia" w:eastAsiaTheme="minorEastAsia" w:cstheme="minorEastAsia"/>
              <w:sz w:val="24"/>
              <w:szCs w:val="24"/>
            </w:rPr>
            <w:t xml:space="preserve">部分 </w:t>
          </w:r>
          <w:r>
            <w:rPr>
              <w:rFonts w:hint="eastAsia" w:asciiTheme="minorEastAsia" w:hAnsiTheme="minorEastAsia" w:eastAsiaTheme="minorEastAsia" w:cstheme="minorEastAsia"/>
              <w:sz w:val="24"/>
              <w:szCs w:val="24"/>
              <w:highlight w:val="none"/>
            </w:rPr>
            <w:t>附</w:t>
          </w:r>
          <w:r>
            <w:rPr>
              <w:rFonts w:hint="eastAsia" w:asciiTheme="minorEastAsia" w:hAnsiTheme="minorEastAsia" w:eastAsiaTheme="minorEastAsia" w:cstheme="minorEastAsia"/>
              <w:sz w:val="24"/>
              <w:szCs w:val="24"/>
              <w:highlight w:val="none"/>
              <w:lang w:eastAsia="zh-CN"/>
            </w:rPr>
            <w:t>表</w:t>
          </w:r>
          <w:r>
            <w:rPr>
              <w:rFonts w:hint="eastAsia" w:asciiTheme="minorEastAsia" w:hAnsiTheme="minorEastAsia" w:eastAsiaTheme="minorEastAsia" w:cstheme="minorEastAsia"/>
              <w:sz w:val="24"/>
              <w:szCs w:val="24"/>
              <w:highlight w:val="none"/>
              <w:lang w:val="en-US" w:eastAsia="zh-CN"/>
            </w:rPr>
            <w:t>......................................................66</w:t>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_Toc146272537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一、收</w:t>
          </w:r>
          <w:r>
            <w:rPr>
              <w:rFonts w:hint="eastAsia" w:asciiTheme="minorEastAsia" w:hAnsiTheme="minorEastAsia" w:eastAsiaTheme="minorEastAsia" w:cstheme="minorEastAsia"/>
              <w:bCs w:val="0"/>
              <w:sz w:val="24"/>
              <w:szCs w:val="24"/>
              <w:highlight w:val="none"/>
            </w:rPr>
            <w:t>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_Toc146272537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_Toc1590471016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sz w:val="24"/>
              <w:szCs w:val="24"/>
              <w:highlight w:val="none"/>
            </w:rPr>
            <w:t>二、收</w:t>
          </w:r>
          <w:r>
            <w:rPr>
              <w:rFonts w:hint="eastAsia" w:asciiTheme="minorEastAsia" w:hAnsiTheme="minorEastAsia" w:eastAsiaTheme="minorEastAsia" w:cstheme="minorEastAsia"/>
              <w:bCs w:val="0"/>
              <w:sz w:val="24"/>
              <w:szCs w:val="24"/>
              <w:highlight w:val="none"/>
            </w:rPr>
            <w:t>入决算表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_Toc1590471016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_Toc149090370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三、</w:t>
          </w:r>
          <w:r>
            <w:rPr>
              <w:rFonts w:hint="eastAsia" w:asciiTheme="minorEastAsia" w:hAnsiTheme="minorEastAsia" w:eastAsiaTheme="minorEastAsia" w:cstheme="minorEastAsia"/>
              <w:sz w:val="24"/>
              <w:szCs w:val="24"/>
              <w:highlight w:val="none"/>
            </w:rPr>
            <w:t>支</w:t>
          </w:r>
          <w:r>
            <w:rPr>
              <w:rFonts w:hint="eastAsia" w:asciiTheme="minorEastAsia" w:hAnsiTheme="minorEastAsia" w:eastAsiaTheme="minorEastAsia" w:cstheme="minorEastAsia"/>
              <w:bCs w:val="0"/>
              <w:sz w:val="24"/>
              <w:szCs w:val="24"/>
              <w:highlight w:val="none"/>
            </w:rPr>
            <w:t>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_Toc149090370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_Toc268642913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四、</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政拨款收入支出决算总表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_Toc268642913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_Toc1506360359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五、</w:t>
          </w:r>
          <w:r>
            <w:rPr>
              <w:rFonts w:hint="eastAsia" w:asciiTheme="minorEastAsia" w:hAnsiTheme="minorEastAsia" w:eastAsiaTheme="minorEastAsia" w:cstheme="minorEastAsia"/>
              <w:sz w:val="24"/>
              <w:szCs w:val="24"/>
              <w:highlight w:val="none"/>
            </w:rPr>
            <w:t>财</w:t>
          </w:r>
          <w:r>
            <w:rPr>
              <w:rFonts w:hint="eastAsia" w:asciiTheme="minorEastAsia" w:hAnsiTheme="minorEastAsia" w:eastAsiaTheme="minorEastAsia" w:cstheme="minorEastAsia"/>
              <w:bCs w:val="0"/>
              <w:sz w:val="24"/>
              <w:szCs w:val="24"/>
              <w:highlight w:val="none"/>
            </w:rPr>
            <w:t>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_Toc1506360359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_Toc1190470619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六、</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_Toc1190470619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_Toc2107582711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七、</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般公共预算财政拨款支出决算明细表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_Toc2107582711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_Toc2066462068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八、</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般公共预算财政拨款基本支出决算表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_Toc2066462068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_Toc978984965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九、</w:t>
          </w:r>
          <w:r>
            <w:rPr>
              <w:rFonts w:hint="eastAsia" w:asciiTheme="minorEastAsia" w:hAnsiTheme="minorEastAsia" w:eastAsiaTheme="minorEastAsia" w:cstheme="minorEastAsia"/>
              <w:sz w:val="24"/>
              <w:szCs w:val="24"/>
              <w:highlight w:val="none"/>
            </w:rPr>
            <w:t>一</w:t>
          </w:r>
          <w:r>
            <w:rPr>
              <w:rFonts w:hint="eastAsia" w:asciiTheme="minorEastAsia" w:hAnsiTheme="minorEastAsia" w:eastAsiaTheme="minorEastAsia" w:cstheme="minorEastAsia"/>
              <w:bCs w:val="0"/>
              <w:sz w:val="24"/>
              <w:szCs w:val="24"/>
              <w:highlight w:val="none"/>
            </w:rPr>
            <w:t>般公共预算财政拨款项目支出决算表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_Toc978984965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_Toc1810063473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w:t>
          </w:r>
          <w:r>
            <w:rPr>
              <w:rFonts w:hint="eastAsia" w:asciiTheme="minorEastAsia" w:hAnsiTheme="minorEastAsia" w:eastAsiaTheme="minorEastAsia" w:cstheme="minorEastAsia"/>
              <w:sz w:val="24"/>
              <w:szCs w:val="24"/>
              <w:highlight w:val="none"/>
            </w:rPr>
            <w:t>政</w:t>
          </w:r>
          <w:r>
            <w:rPr>
              <w:rFonts w:hint="eastAsia" w:asciiTheme="minorEastAsia" w:hAnsiTheme="minorEastAsia" w:eastAsiaTheme="minorEastAsia" w:cstheme="minorEastAsia"/>
              <w:bCs w:val="0"/>
              <w:sz w:val="24"/>
              <w:szCs w:val="24"/>
              <w:highlight w:val="none"/>
            </w:rPr>
            <w:t>府性基金预算财政拨款收入支出决算表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_Toc1810063473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_Toc307111675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十一、</w:t>
          </w:r>
          <w:r>
            <w:rPr>
              <w:rFonts w:hint="eastAsia" w:asciiTheme="minorEastAsia" w:hAnsiTheme="minorEastAsia" w:eastAsiaTheme="minorEastAsia" w:cstheme="minorEastAsia"/>
              <w:sz w:val="24"/>
              <w:szCs w:val="24"/>
              <w:highlight w:val="none"/>
            </w:rPr>
            <w:t>国</w:t>
          </w:r>
          <w:r>
            <w:rPr>
              <w:rFonts w:hint="eastAsia" w:asciiTheme="minorEastAsia" w:hAnsiTheme="minorEastAsia" w:eastAsiaTheme="minorEastAsia" w:cstheme="minorEastAsia"/>
              <w:bCs w:val="0"/>
              <w:sz w:val="24"/>
              <w:szCs w:val="24"/>
              <w:highlight w:val="none"/>
            </w:rPr>
            <w:t>有资本经营预算</w:t>
          </w:r>
          <w:r>
            <w:rPr>
              <w:rFonts w:hint="eastAsia" w:asciiTheme="minorEastAsia" w:hAnsiTheme="minorEastAsia" w:eastAsiaTheme="minorEastAsia" w:cstheme="minorEastAsia"/>
              <w:bCs w:val="0"/>
              <w:sz w:val="24"/>
              <w:szCs w:val="24"/>
              <w:highlight w:val="none"/>
              <w:lang w:eastAsia="zh-CN"/>
            </w:rPr>
            <w:t>财政拨款收入</w:t>
          </w:r>
          <w:r>
            <w:rPr>
              <w:rFonts w:hint="eastAsia" w:asciiTheme="minorEastAsia" w:hAnsiTheme="minorEastAsia" w:eastAsiaTheme="minorEastAsia" w:cstheme="minorEastAsia"/>
              <w:bCs w:val="0"/>
              <w:sz w:val="24"/>
              <w:szCs w:val="24"/>
              <w:highlight w:val="none"/>
            </w:rPr>
            <w:t>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_Toc307111675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_Toc1751225771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十二、</w:t>
          </w:r>
          <w:r>
            <w:rPr>
              <w:rFonts w:hint="eastAsia" w:asciiTheme="minorEastAsia" w:hAnsiTheme="minorEastAsia" w:eastAsiaTheme="minorEastAsia" w:cstheme="minorEastAsia"/>
              <w:bCs w:val="0"/>
              <w:sz w:val="24"/>
              <w:szCs w:val="24"/>
              <w:highlight w:val="none"/>
              <w:lang w:eastAsia="zh-CN"/>
            </w:rPr>
            <w:t>国有资本经营预算财政拨款支出决算表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_Toc1751225771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2"/>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576" w:lineRule="exact"/>
            <w:textAlignment w:val="auto"/>
          </w:pPr>
          <w:r>
            <w:rPr>
              <w:rFonts w:hint="eastAsia" w:asciiTheme="minorEastAsia" w:hAnsiTheme="minorEastAsia" w:eastAsiaTheme="minorEastAsia" w:cstheme="minorEastAsia"/>
              <w:color w:val="auto"/>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\l _Toc1785915781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bCs w:val="0"/>
              <w:sz w:val="24"/>
              <w:szCs w:val="24"/>
              <w:highlight w:val="none"/>
            </w:rPr>
            <w:t>十三、</w:t>
          </w:r>
          <w:r>
            <w:rPr>
              <w:rFonts w:hint="eastAsia" w:asciiTheme="minorEastAsia" w:hAnsiTheme="minorEastAsia" w:eastAsiaTheme="minorEastAsia" w:cstheme="minorEastAsia"/>
              <w:bCs w:val="0"/>
              <w:sz w:val="24"/>
              <w:szCs w:val="24"/>
              <w:highlight w:val="none"/>
              <w:lang w:eastAsia="zh-CN"/>
            </w:rPr>
            <w:t>财政拨款“三公”经费支出决算表</w:t>
          </w:r>
          <w:r>
            <w:rPr>
              <w:rFonts w:hint="eastAsia" w:asciiTheme="minorEastAsia" w:hAnsiTheme="minorEastAsia" w:eastAsiaTheme="minorEastAsia" w:cstheme="minorEastAsia"/>
              <w:sz w:val="24"/>
              <w:szCs w:val="24"/>
            </w:rPr>
            <w:tab/>
          </w:r>
          <w:r>
            <w:rPr>
              <w:rFonts w:hint="eastAsia" w:asciiTheme="minorEastAsia" w:hAnsiTheme="minorEastAsia" w:eastAsiaTheme="minorEastAsia" w:cstheme="minorEastAsia"/>
              <w:sz w:val="24"/>
              <w:szCs w:val="24"/>
            </w:rPr>
            <w:fldChar w:fldCharType="begin"/>
          </w:r>
          <w:r>
            <w:rPr>
              <w:rFonts w:hint="eastAsia" w:asciiTheme="minorEastAsia" w:hAnsiTheme="minorEastAsia" w:eastAsiaTheme="minorEastAsia" w:cstheme="minorEastAsia"/>
              <w:sz w:val="24"/>
              <w:szCs w:val="24"/>
            </w:rPr>
            <w:instrText xml:space="preserve"> PAGEREF _Toc1785915781 \h </w:instrText>
          </w:r>
          <w:r>
            <w:rPr>
              <w:rFonts w:hint="eastAsia" w:asciiTheme="minorEastAsia" w:hAnsiTheme="minorEastAsia" w:eastAsiaTheme="minorEastAsia" w:cstheme="minorEastAsia"/>
              <w:sz w:val="24"/>
              <w:szCs w:val="24"/>
            </w:rPr>
            <w:fldChar w:fldCharType="separate"/>
          </w:r>
          <w:r>
            <w:rPr>
              <w:rFonts w:hint="eastAsia" w:asciiTheme="minorEastAsia" w:hAnsiTheme="minorEastAsia" w:eastAsiaTheme="minorEastAsia" w:cstheme="minorEastAsia"/>
              <w:sz w:val="24"/>
              <w:szCs w:val="24"/>
            </w:rPr>
            <w:t>56</w:t>
          </w:r>
          <w:r>
            <w:rPr>
              <w:rFonts w:hint="eastAsia" w:asciiTheme="minorEastAsia" w:hAnsiTheme="minorEastAsia" w:eastAsiaTheme="minorEastAsia" w:cstheme="minorEastAsia"/>
              <w:sz w:val="24"/>
              <w:szCs w:val="24"/>
            </w:rPr>
            <w:fldChar w:fldCharType="end"/>
          </w:r>
          <w:r>
            <w:rPr>
              <w:rFonts w:hint="eastAsia" w:asciiTheme="minorEastAsia" w:hAnsiTheme="minorEastAsia" w:eastAsiaTheme="minorEastAsia" w:cstheme="minorEastAsia"/>
              <w:color w:val="auto"/>
              <w:sz w:val="24"/>
              <w:szCs w:val="24"/>
              <w:highlight w:val="none"/>
            </w:rPr>
            <w:fldChar w:fldCharType="end"/>
          </w: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end"/>
          </w:r>
        </w:p>
      </w:sdtContent>
    </w:sdt>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textAlignment w:val="auto"/>
        <w:rPr>
          <w:rFonts w:hint="eastAsia" w:ascii="仿宋_GB2312" w:hAnsi="仿宋" w:eastAsia="仿宋_GB2312"/>
          <w:sz w:val="32"/>
          <w:szCs w:val="32"/>
        </w:rPr>
      </w:pPr>
    </w:p>
    <w:p>
      <w:pPr>
        <w:pStyle w:val="11"/>
        <w:keepNext w:val="0"/>
        <w:keepLines w:val="0"/>
        <w:pageBreakBefore w:val="0"/>
        <w:widowControl w:val="0"/>
        <w:tabs>
          <w:tab w:val="right" w:leader="dot" w:pos="8306"/>
          <w:tab w:val="clear" w:pos="8296"/>
        </w:tabs>
        <w:kinsoku/>
        <w:wordWrap/>
        <w:overflowPunct/>
        <w:topLinePunct w:val="0"/>
        <w:autoSpaceDE/>
        <w:autoSpaceDN/>
        <w:bidi w:val="0"/>
        <w:adjustRightInd/>
        <w:snapToGrid/>
        <w:spacing w:before="0" w:line="576" w:lineRule="exact"/>
        <w:ind w:left="0" w:leftChars="0"/>
        <w:jc w:val="both"/>
        <w:textAlignment w:val="auto"/>
        <w:rPr>
          <w:rFonts w:hint="eastAsia" w:ascii="黑体" w:hAnsi="黑体" w:eastAsia="黑体"/>
          <w:b w:val="0"/>
          <w:color w:val="auto"/>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pPr>
        <w:pStyle w:val="3"/>
        <w:jc w:val="center"/>
        <w:rPr>
          <w:rStyle w:val="20"/>
          <w:rFonts w:ascii="黑体" w:hAnsi="黑体" w:eastAsia="黑体"/>
          <w:b/>
          <w:bCs w:val="0"/>
          <w:color w:val="auto"/>
          <w:highlight w:val="none"/>
        </w:rPr>
      </w:pPr>
      <w:bookmarkStart w:id="2" w:name="_Toc1689228272"/>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部门</w:t>
      </w:r>
      <w:r>
        <w:rPr>
          <w:rStyle w:val="20"/>
          <w:rFonts w:hint="eastAsia" w:ascii="黑体" w:hAnsi="黑体" w:eastAsia="黑体"/>
          <w:b w:val="0"/>
          <w:bCs w:val="0"/>
          <w:color w:val="auto"/>
          <w:highlight w:val="none"/>
        </w:rPr>
        <w:t>概况</w:t>
      </w:r>
      <w:bookmarkEnd w:id="2"/>
    </w:p>
    <w:p>
      <w:pPr>
        <w:pStyle w:val="4"/>
        <w:numPr>
          <w:ilvl w:val="0"/>
          <w:numId w:val="0"/>
        </w:numPr>
        <w:spacing w:before="0" w:after="0" w:line="240" w:lineRule="auto"/>
        <w:ind w:firstLine="642" w:firstLineChars="200"/>
        <w:rPr>
          <w:rFonts w:hint="eastAsia" w:ascii="仿宋_GB2312" w:hAnsi="仿宋" w:eastAsia="仿宋_GB2312"/>
          <w:sz w:val="32"/>
          <w:szCs w:val="32"/>
        </w:rPr>
      </w:pPr>
      <w:bookmarkStart w:id="3" w:name="_Toc1231382859"/>
      <w:r>
        <w:rPr>
          <w:rFonts w:hint="eastAsia"/>
          <w:lang w:eastAsia="zh-CN"/>
        </w:rPr>
        <w:t>一、</w:t>
      </w:r>
      <w:r>
        <w:rPr>
          <w:rStyle w:val="21"/>
          <w:rFonts w:hint="eastAsia" w:ascii="黑体" w:hAnsi="黑体" w:eastAsia="黑体"/>
          <w:b w:val="0"/>
          <w:bCs w:val="0"/>
          <w:color w:val="auto"/>
          <w:highlight w:val="none"/>
          <w:lang w:eastAsia="zh-CN"/>
        </w:rPr>
        <w:t>部门职责</w:t>
      </w:r>
      <w:bookmarkEnd w:id="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w:t>
      </w:r>
      <w:r>
        <w:rPr>
          <w:rFonts w:hint="eastAsia" w:ascii="仿宋_GB2312" w:hAnsi="Times New Roman" w:eastAsia="仿宋_GB2312" w:cs="Times New Roman"/>
          <w:color w:val="auto"/>
          <w:sz w:val="32"/>
          <w:szCs w:val="32"/>
          <w:highlight w:val="none"/>
          <w:lang w:eastAsia="zh-CN"/>
        </w:rPr>
        <w:t>会同有关部门研究拟订并组织实施全市金融业发展规划和政策措施。负责市金融工作领导小组日常工作。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统筹、协调推进全市金融业服务实体经济、防控金融风险、深化金融改革。推动地方政府和金融机构合作。加强金融对外合作交流。</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3.会同有关部门推进地方金融业规范发展，组建、培育、壮大地方法人金融机构，引进市外、境外金融机构，促进金融机构合理布局和金融资源优化配置。负责监管范围内的地方法人金融机构的改革发展和业务指导工作。参与市委、市政府对金融机构的考核等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4.</w:t>
      </w:r>
      <w:r>
        <w:rPr>
          <w:rFonts w:hint="eastAsia" w:ascii="仿宋_GB2312" w:hAnsi="Times New Roman" w:eastAsia="仿宋_GB2312" w:cs="Times New Roman"/>
          <w:color w:val="auto"/>
          <w:sz w:val="32"/>
          <w:szCs w:val="32"/>
          <w:highlight w:val="none"/>
          <w:lang w:eastAsia="zh-CN"/>
        </w:rPr>
        <w:t>统筹推进全市企业直接融资工作。指导全市企业上市改制工作，负责上市培育和上市协调工作。指导上市公司规范运作、并购重组等工作。会同有关部门指导推动企业发行各种债券、开展资产证券化等工作（境外融资除外），推进多渠道直接融资。参与指导各类投资基金规范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5.</w:t>
      </w:r>
      <w:r>
        <w:rPr>
          <w:rFonts w:hint="eastAsia" w:ascii="仿宋_GB2312" w:hAnsi="Times New Roman" w:eastAsia="仿宋_GB2312" w:cs="Times New Roman"/>
          <w:color w:val="auto"/>
          <w:sz w:val="32"/>
          <w:szCs w:val="32"/>
          <w:highlight w:val="none"/>
          <w:lang w:eastAsia="zh-CN"/>
        </w:rPr>
        <w:t>统筹地方金融要素市场体系建设。会同有关部门指导、推动地方金融要素市场建设，组织推进多层次资本市场发展。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6.</w:t>
      </w:r>
      <w:r>
        <w:rPr>
          <w:rFonts w:hint="eastAsia" w:ascii="仿宋_GB2312" w:hAnsi="Times New Roman" w:eastAsia="仿宋_GB2312" w:cs="Times New Roman"/>
          <w:color w:val="auto"/>
          <w:sz w:val="32"/>
          <w:szCs w:val="32"/>
          <w:highlight w:val="none"/>
          <w:lang w:eastAsia="zh-CN"/>
        </w:rPr>
        <w:t>配合中央金融管理部门驻广机构做好金融监管相关工作，共享地方金融监管指标数据和金融业务发展情况。为中央驻广金融管理部门、金融机构提供服务，协调解决地方金融业改革发展中的有关问题。</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7.</w:t>
      </w:r>
      <w:r>
        <w:rPr>
          <w:rFonts w:hint="eastAsia" w:ascii="仿宋_GB2312" w:hAnsi="Times New Roman" w:eastAsia="仿宋_GB2312" w:cs="Times New Roman"/>
          <w:color w:val="auto"/>
          <w:sz w:val="32"/>
          <w:szCs w:val="32"/>
          <w:highlight w:val="none"/>
          <w:lang w:eastAsia="zh-CN"/>
        </w:rPr>
        <w:t>推动金融机构为全市经济社会发展服务，协调市级政府性投资项目融资工作，参与全市投融资体制改革工作。推动地方金融统计体系建设。参与研究制定引导社会融资发展的政策措施和政府重大项目融资方案。协调推进重大金融项目招商工作。会同相关部门推进全市金融服务体系建设，推进普惠金融、科技金融、绿色金融、数字金融发展。</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8.</w:t>
      </w:r>
      <w:r>
        <w:rPr>
          <w:rFonts w:hint="eastAsia" w:ascii="仿宋_GB2312" w:hAnsi="Times New Roman" w:eastAsia="仿宋_GB2312" w:cs="Times New Roman"/>
          <w:color w:val="auto"/>
          <w:sz w:val="32"/>
          <w:szCs w:val="32"/>
          <w:highlight w:val="none"/>
          <w:lang w:eastAsia="zh-CN"/>
        </w:rPr>
        <w:t>负责全市小额贷款公司、融资担保公司、区域性股权市场、典当行、融资租赁公司、商业保理公司、地方资产管理公司等地方金融组织的监管。加强对开展信用互助的农民专业合作社、地方权益类交易场所、大宗商品类交易场所的风险监测与行为监管。</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9.</w:t>
      </w:r>
      <w:r>
        <w:rPr>
          <w:rFonts w:hint="eastAsia" w:ascii="仿宋_GB2312" w:hAnsi="Times New Roman" w:eastAsia="仿宋_GB2312" w:cs="Times New Roman"/>
          <w:color w:val="auto"/>
          <w:sz w:val="32"/>
          <w:szCs w:val="32"/>
          <w:highlight w:val="none"/>
          <w:lang w:eastAsia="zh-CN"/>
        </w:rPr>
        <w:t>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10.</w:t>
      </w:r>
      <w:r>
        <w:rPr>
          <w:rFonts w:hint="eastAsia" w:ascii="仿宋_GB2312" w:hAnsi="Times New Roman" w:eastAsia="仿宋_GB2312" w:cs="Times New Roman"/>
          <w:color w:val="auto"/>
          <w:sz w:val="32"/>
          <w:szCs w:val="32"/>
          <w:highlight w:val="none"/>
          <w:lang w:eastAsia="zh-CN"/>
        </w:rPr>
        <w:t>维护地方金融秩序。牵头有关部门防范、化解和处置地方金融风险。牵头处置非法集资，协调配合有关部门打击其他非法金融活动，推进地方金融风险监测预警与应急处置机制建设，推动互联网金融规范发展和维护金融稳定，构建优良金融生态环境。</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11.</w:t>
      </w:r>
      <w:r>
        <w:rPr>
          <w:rFonts w:hint="eastAsia" w:ascii="仿宋_GB2312" w:hAnsi="Times New Roman" w:eastAsia="仿宋_GB2312" w:cs="Times New Roman"/>
          <w:color w:val="auto"/>
          <w:sz w:val="32"/>
          <w:szCs w:val="32"/>
          <w:highlight w:val="none"/>
          <w:lang w:eastAsia="zh-CN"/>
        </w:rPr>
        <w:t>配合市级有关部门研究制定国有金融资本布局方案。</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12.</w:t>
      </w:r>
      <w:r>
        <w:rPr>
          <w:rFonts w:hint="eastAsia" w:ascii="仿宋_GB2312" w:hAnsi="Times New Roman" w:eastAsia="仿宋_GB2312" w:cs="Times New Roman"/>
          <w:color w:val="auto"/>
          <w:sz w:val="32"/>
          <w:szCs w:val="32"/>
          <w:highlight w:val="none"/>
          <w:lang w:eastAsia="zh-CN"/>
        </w:rPr>
        <w:t>负责对县区政府金融工作进行业务指导，推进市、县区金融工作协同联动机制建设，参与、指导全市金融人才资源培育和队伍建设工作。推进全市金融知识宣传普及工作。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13.</w:t>
      </w:r>
      <w:r>
        <w:rPr>
          <w:rFonts w:hint="eastAsia" w:ascii="仿宋_GB2312" w:hAnsi="Times New Roman" w:eastAsia="仿宋_GB2312" w:cs="Times New Roman"/>
          <w:color w:val="auto"/>
          <w:sz w:val="32"/>
          <w:szCs w:val="32"/>
          <w:highlight w:val="none"/>
          <w:lang w:eastAsia="zh-CN"/>
        </w:rPr>
        <w:t>督促监管范围内的地方法人金融机构建立健全并执行安全生产和职业健康相关制度、规定、标准；组织开展本行业系统安全生产工作检查，总结推广安全生产工作经验，督促整改安全隐患。</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14.</w:t>
      </w:r>
      <w:r>
        <w:rPr>
          <w:rFonts w:hint="eastAsia" w:ascii="仿宋_GB2312" w:hAnsi="Times New Roman" w:eastAsia="仿宋_GB2312" w:cs="Times New Roman"/>
          <w:color w:val="auto"/>
          <w:sz w:val="32"/>
          <w:szCs w:val="32"/>
          <w:highlight w:val="none"/>
          <w:lang w:eastAsia="zh-CN"/>
        </w:rPr>
        <w:t>负责职责范围内的生态环境保护、审批服务便民化等工作。</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15.</w:t>
      </w:r>
      <w:r>
        <w:rPr>
          <w:rFonts w:hint="eastAsia" w:ascii="仿宋_GB2312" w:hAnsi="Times New Roman" w:eastAsia="仿宋_GB2312" w:cs="Times New Roman"/>
          <w:color w:val="auto"/>
          <w:sz w:val="32"/>
          <w:szCs w:val="32"/>
          <w:highlight w:val="none"/>
          <w:lang w:eastAsia="zh-CN"/>
        </w:rPr>
        <w:t>完成市委、市政府交办的其他任务。</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20"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val="en-US" w:eastAsia="zh-CN"/>
        </w:rPr>
        <w:t>16.</w:t>
      </w:r>
      <w:r>
        <w:rPr>
          <w:rFonts w:hint="eastAsia" w:ascii="仿宋_GB2312" w:hAnsi="Times New Roman" w:eastAsia="仿宋_GB2312" w:cs="Times New Roman"/>
          <w:color w:val="auto"/>
          <w:sz w:val="32"/>
          <w:szCs w:val="32"/>
          <w:highlight w:val="none"/>
          <w:lang w:eastAsia="zh-CN"/>
        </w:rPr>
        <w:t>职能转变。在坚持金融管理主要是中央事权的前提下，按照中央统一规则、地方实施监管，谁审批、谁监管、谁担责的总体要求，加强对地方金融的监督管理，落实好服务实体经济、防控金融风险、深化金融改革三项任务。一是坚持以服务实体经济为宗旨。把服务实体经济作为工作的出发点和落脚点，全面提高金融服务效率和水平，加强重点领域和薄弱环节金融服务。二是坚持以防范系统性金融风险为底线。以地方法人金融机构风险防范为重点，坚持预防为主、标本兼治、稳妥有序、守住底线，提高金融体系抵御风险能力，确保地方金融安全高效稳健运行。三是坚持以深化金融改革开放为动力。坚持社会主义市场经济改革方向，加快地方金融重要领域和关键环节改革，建立健全市、县（区）两级地方金融监督管理体系，着力提高地方金融业竞争力和风险防范能力。</w:t>
      </w:r>
    </w:p>
    <w:p>
      <w:pPr>
        <w:keepNext w:val="0"/>
        <w:keepLines w:val="0"/>
        <w:pageBreakBefore w:val="0"/>
        <w:widowControl w:val="0"/>
        <w:kinsoku/>
        <w:wordWrap/>
        <w:overflowPunct/>
        <w:topLinePunct w:val="0"/>
        <w:autoSpaceDE/>
        <w:autoSpaceDN/>
        <w:bidi w:val="0"/>
        <w:adjustRightInd/>
        <w:snapToGrid w:val="0"/>
        <w:spacing w:line="576" w:lineRule="exact"/>
        <w:ind w:firstLine="640" w:firstLineChars="200"/>
        <w:textAlignment w:val="auto"/>
        <w:outlineLvl w:val="1"/>
        <w:rPr>
          <w:rFonts w:hint="eastAsia" w:ascii="黑体" w:hAnsi="黑体" w:eastAsia="黑体" w:cs="黑体"/>
          <w:b w:val="0"/>
          <w:bCs w:val="0"/>
          <w:sz w:val="32"/>
          <w:szCs w:val="32"/>
          <w:lang w:eastAsia="zh-CN"/>
        </w:rPr>
      </w:pPr>
      <w:bookmarkStart w:id="4" w:name="_Toc767546216"/>
      <w:r>
        <w:rPr>
          <w:rFonts w:hint="eastAsia" w:ascii="黑体" w:hAnsi="黑体" w:eastAsia="黑体" w:cs="黑体"/>
          <w:b w:val="0"/>
          <w:bCs w:val="0"/>
          <w:sz w:val="32"/>
          <w:szCs w:val="32"/>
          <w:lang w:eastAsia="zh-CN"/>
        </w:rPr>
        <w:t>二、</w:t>
      </w:r>
      <w:r>
        <w:rPr>
          <w:rFonts w:hint="eastAsia" w:ascii="黑体" w:hAnsi="黑体" w:eastAsia="黑体" w:cs="黑体"/>
          <w:b w:val="0"/>
          <w:bCs w:val="0"/>
          <w:sz w:val="32"/>
          <w:szCs w:val="32"/>
        </w:rPr>
        <w:t>机构</w:t>
      </w:r>
      <w:r>
        <w:rPr>
          <w:rFonts w:hint="eastAsia" w:ascii="黑体" w:hAnsi="黑体" w:eastAsia="黑体" w:cs="黑体"/>
          <w:b w:val="0"/>
          <w:bCs w:val="0"/>
          <w:sz w:val="32"/>
          <w:szCs w:val="32"/>
          <w:lang w:eastAsia="zh-CN"/>
        </w:rPr>
        <w:t>设置</w:t>
      </w:r>
      <w:bookmarkEnd w:id="4"/>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黑体" w:hAnsi="黑体" w:eastAsia="黑体" w:cs="Times New Roman"/>
          <w:b w:val="0"/>
          <w:bCs/>
          <w:color w:val="auto"/>
          <w:kern w:val="44"/>
          <w:sz w:val="44"/>
          <w:szCs w:val="44"/>
          <w:highlight w:val="none"/>
        </w:rPr>
      </w:pPr>
      <w:r>
        <w:rPr>
          <w:rFonts w:hint="eastAsia" w:ascii="仿宋_GB2312" w:hAnsi="Times New Roman" w:eastAsia="仿宋_GB2312" w:cs="Times New Roman"/>
          <w:color w:val="auto"/>
          <w:sz w:val="32"/>
          <w:szCs w:val="32"/>
          <w:highlight w:val="none"/>
          <w:lang w:val="en-US" w:eastAsia="zh-CN"/>
        </w:rPr>
        <w:t>广元市金融工作局</w:t>
      </w:r>
      <w:r>
        <w:rPr>
          <w:rFonts w:hint="eastAsia" w:ascii="仿宋_GB2312" w:eastAsia="仿宋_GB2312" w:cs="Times New Roman"/>
          <w:color w:val="auto"/>
          <w:sz w:val="32"/>
          <w:szCs w:val="32"/>
          <w:highlight w:val="none"/>
          <w:lang w:val="en-US" w:eastAsia="zh-CN"/>
        </w:rPr>
        <w:t>部门</w:t>
      </w:r>
      <w:r>
        <w:rPr>
          <w:rFonts w:hint="eastAsia" w:ascii="仿宋_GB2312" w:hAnsi="Times New Roman" w:eastAsia="仿宋_GB2312" w:cs="Times New Roman"/>
          <w:color w:val="auto"/>
          <w:sz w:val="32"/>
          <w:szCs w:val="32"/>
          <w:highlight w:val="none"/>
          <w:lang w:val="en-US" w:eastAsia="zh-CN"/>
        </w:rPr>
        <w:t>为一级预算单位，属二级预算单位</w:t>
      </w:r>
      <w:r>
        <w:rPr>
          <w:rFonts w:hint="eastAsia" w:ascii="仿宋_GB2312" w:eastAsia="仿宋_GB2312" w:cs="Times New Roman"/>
          <w:color w:val="auto"/>
          <w:sz w:val="32"/>
          <w:szCs w:val="32"/>
          <w:highlight w:val="none"/>
          <w:lang w:val="en-US" w:eastAsia="zh-CN"/>
        </w:rPr>
        <w:t>1个为</w:t>
      </w:r>
      <w:r>
        <w:rPr>
          <w:rFonts w:hint="eastAsia" w:ascii="仿宋_GB2312" w:hAnsi="Times New Roman" w:eastAsia="仿宋_GB2312" w:cs="Times New Roman"/>
          <w:color w:val="auto"/>
          <w:sz w:val="32"/>
          <w:szCs w:val="32"/>
          <w:highlight w:val="none"/>
          <w:lang w:val="en-US" w:eastAsia="zh-CN"/>
        </w:rPr>
        <w:t>广元市金融工作局。</w:t>
      </w:r>
      <w:bookmarkStart w:id="5" w:name="YS060102"/>
    </w:p>
    <w:p>
      <w:pPr>
        <w:pStyle w:val="2"/>
        <w:keepNext w:val="0"/>
        <w:keepLines w:val="0"/>
        <w:pageBreakBefore w:val="0"/>
        <w:widowControl w:val="0"/>
        <w:kinsoku/>
        <w:wordWrap/>
        <w:overflowPunct/>
        <w:topLinePunct w:val="0"/>
        <w:autoSpaceDE/>
        <w:autoSpaceDN/>
        <w:bidi w:val="0"/>
        <w:adjustRightInd/>
        <w:snapToGrid/>
        <w:spacing w:after="0" w:line="576" w:lineRule="atLeast"/>
        <w:ind w:firstLine="880" w:firstLineChars="200"/>
        <w:jc w:val="left"/>
        <w:textAlignment w:val="auto"/>
        <w:rPr>
          <w:rFonts w:hint="eastAsia" w:ascii="黑体" w:hAnsi="黑体" w:eastAsia="黑体" w:cs="Times New Roman"/>
          <w:b w:val="0"/>
          <w:bCs/>
          <w:color w:val="auto"/>
          <w:kern w:val="44"/>
          <w:sz w:val="44"/>
          <w:szCs w:val="44"/>
          <w:highlight w:val="none"/>
        </w:rPr>
      </w:pPr>
    </w:p>
    <w:p>
      <w:pPr>
        <w:keepNext w:val="0"/>
        <w:keepLines w:val="0"/>
        <w:pageBreakBefore w:val="0"/>
        <w:kinsoku/>
        <w:wordWrap/>
        <w:overflowPunct/>
        <w:topLinePunct w:val="0"/>
        <w:autoSpaceDE/>
        <w:autoSpaceDN/>
        <w:bidi w:val="0"/>
        <w:adjustRightInd/>
        <w:snapToGrid w:val="0"/>
        <w:spacing w:line="576" w:lineRule="atLeast"/>
        <w:ind w:firstLine="440" w:firstLineChars="100"/>
        <w:jc w:val="both"/>
        <w:outlineLvl w:val="0"/>
        <w:rPr>
          <w:rFonts w:hint="eastAsia" w:ascii="黑体" w:hAnsi="黑体" w:eastAsia="黑体"/>
          <w:sz w:val="32"/>
          <w:szCs w:val="32"/>
        </w:rPr>
      </w:pPr>
      <w:bookmarkStart w:id="6" w:name="_Toc1839792005"/>
      <w:r>
        <w:rPr>
          <w:rFonts w:hint="eastAsia" w:ascii="黑体" w:hAnsi="黑体" w:eastAsia="黑体" w:cs="Times New Roman"/>
          <w:b w:val="0"/>
          <w:bCs/>
          <w:color w:val="auto"/>
          <w:kern w:val="44"/>
          <w:sz w:val="44"/>
          <w:szCs w:val="44"/>
          <w:highlight w:val="none"/>
        </w:rPr>
        <w:t xml:space="preserve">第二部分 </w:t>
      </w:r>
      <w:r>
        <w:rPr>
          <w:rFonts w:hint="eastAsia" w:ascii="黑体" w:hAnsi="黑体" w:eastAsia="黑体" w:cs="Times New Roman"/>
          <w:b w:val="0"/>
          <w:bCs/>
          <w:color w:val="auto"/>
          <w:kern w:val="44"/>
          <w:sz w:val="44"/>
          <w:szCs w:val="44"/>
          <w:highlight w:val="none"/>
          <w:lang w:val="en-US" w:eastAsia="zh-CN"/>
        </w:rPr>
        <w:t>2023年度</w:t>
      </w:r>
      <w:r>
        <w:rPr>
          <w:rStyle w:val="20"/>
          <w:rFonts w:hint="eastAsia" w:ascii="黑体" w:hAnsi="黑体" w:eastAsia="黑体" w:cs="Times New Roman"/>
          <w:b w:val="0"/>
          <w:bCs/>
          <w:color w:val="auto"/>
          <w:highlight w:val="none"/>
          <w:lang w:eastAsia="zh-CN"/>
        </w:rPr>
        <w:t>部门</w:t>
      </w:r>
      <w:r>
        <w:rPr>
          <w:rStyle w:val="20"/>
          <w:rFonts w:hint="eastAsia" w:ascii="黑体" w:hAnsi="黑体" w:eastAsia="黑体" w:cs="Times New Roman"/>
          <w:b w:val="0"/>
          <w:bCs/>
          <w:color w:val="auto"/>
          <w:highlight w:val="none"/>
        </w:rPr>
        <w:t>决算情况说明</w:t>
      </w:r>
      <w:bookmarkEnd w:id="6"/>
    </w:p>
    <w:bookmarkEnd w:id="5"/>
    <w:p>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576" w:lineRule="atLeast"/>
        <w:ind w:left="0" w:leftChars="0" w:right="0" w:firstLine="640" w:firstLineChars="200"/>
        <w:jc w:val="left"/>
        <w:textAlignment w:val="auto"/>
        <w:rPr>
          <w:rFonts w:hint="eastAsia" w:ascii="仿宋_GB2312" w:hAnsi="仿宋_GB2312" w:eastAsia="仿宋_GB2312" w:cs="仿宋_GB2312"/>
          <w:color w:val="auto"/>
          <w:sz w:val="32"/>
          <w:szCs w:val="32"/>
          <w:highlight w:val="none"/>
          <w:lang w:val="en-US" w:eastAsia="zh-CN"/>
        </w:rPr>
      </w:pPr>
    </w:p>
    <w:p>
      <w:pPr>
        <w:pStyle w:val="22"/>
        <w:numPr>
          <w:ilvl w:val="0"/>
          <w:numId w:val="0"/>
        </w:numPr>
        <w:spacing w:line="600" w:lineRule="exact"/>
        <w:ind w:left="640" w:leftChars="0"/>
        <w:outlineLvl w:val="1"/>
        <w:rPr>
          <w:rFonts w:hint="eastAsia" w:ascii="仿宋_GB2312" w:hAnsi="仿宋_GB2312" w:eastAsia="仿宋_GB2312" w:cs="仿宋_GB2312"/>
          <w:color w:val="auto"/>
          <w:sz w:val="32"/>
          <w:szCs w:val="32"/>
          <w:highlight w:val="none"/>
          <w:lang w:val="en-US" w:eastAsia="zh-CN"/>
        </w:rPr>
      </w:pPr>
      <w:bookmarkStart w:id="7" w:name="_Toc2129722482"/>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入支出决算总体情况说明</w:t>
      </w:r>
      <w:bookmarkEnd w:id="7"/>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2023年度收、支总计均为</w:t>
      </w:r>
      <w:r>
        <w:rPr>
          <w:rFonts w:hint="eastAsia" w:ascii="仿宋_GB2312" w:hAnsi="Times New Roman" w:eastAsia="仿宋_GB2312" w:cs="Times New Roman"/>
          <w:color w:val="auto"/>
          <w:sz w:val="32"/>
          <w:szCs w:val="32"/>
          <w:highlight w:val="none"/>
          <w:lang w:val="en-US" w:eastAsia="zh-CN"/>
        </w:rPr>
        <w:t>528.67万元，与2022年相比，收、支总计各增加6.61万元，增长1.27%。主要变动原因是办公用房维修改造、退休干部职业年金做实和发放一次性“中人”补贴。</w:t>
      </w:r>
    </w:p>
    <w:p>
      <w:pPr>
        <w:pStyle w:val="15"/>
        <w:numPr>
          <w:ilvl w:val="0"/>
          <w:numId w:val="0"/>
        </w:numPr>
        <w:rPr>
          <w:rFonts w:hint="default" w:eastAsia="宋体"/>
          <w:lang w:val="en-US" w:eastAsia="zh-CN"/>
        </w:rPr>
      </w:pPr>
      <w:r>
        <w:rPr>
          <w:rFonts w:hint="eastAsia"/>
          <w:lang w:val="en-US" w:eastAsia="zh-CN"/>
        </w:rPr>
        <w:t xml:space="preserve">  </w:t>
      </w:r>
      <w:r>
        <w:rPr>
          <w:rFonts w:hint="default" w:eastAsia="宋体"/>
          <w:highlight w:val="none"/>
          <w:lang w:val="en-US" w:eastAsia="zh-CN"/>
        </w:rPr>
        <w:drawing>
          <wp:inline distT="0" distB="0" distL="114300" distR="114300">
            <wp:extent cx="4978400" cy="3378200"/>
            <wp:effectExtent l="4445" t="4445" r="8255" b="825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2"/>
        <w:numPr>
          <w:ilvl w:val="0"/>
          <w:numId w:val="0"/>
        </w:numPr>
        <w:spacing w:line="600" w:lineRule="exact"/>
        <w:ind w:left="640" w:leftChars="0" w:firstLine="320" w:firstLineChars="100"/>
        <w:outlineLvl w:val="1"/>
        <w:rPr>
          <w:rFonts w:hint="eastAsia" w:ascii="仿宋_GB2312" w:hAnsi="仿宋_GB2312" w:eastAsia="仿宋_GB2312" w:cs="仿宋_GB2312"/>
          <w:color w:val="auto"/>
          <w:sz w:val="32"/>
          <w:szCs w:val="32"/>
          <w:highlight w:val="none"/>
        </w:rPr>
      </w:pPr>
      <w:bookmarkStart w:id="8" w:name="_Toc661869142"/>
      <w:bookmarkStart w:id="9" w:name="_Toc11024613"/>
      <w:bookmarkStart w:id="10" w:name="_Toc2113448364"/>
      <w:r>
        <w:rPr>
          <w:rFonts w:hint="eastAsia" w:ascii="仿宋_GB2312" w:hAnsi="仿宋_GB2312" w:eastAsia="仿宋_GB2312" w:cs="仿宋_GB2312"/>
          <w:color w:val="auto"/>
          <w:sz w:val="32"/>
          <w:szCs w:val="32"/>
          <w:highlight w:val="none"/>
        </w:rPr>
        <w:t>（图1：收、支决算总计变动情况图）</w:t>
      </w:r>
      <w:bookmarkEnd w:id="8"/>
      <w:bookmarkEnd w:id="9"/>
      <w:bookmarkEnd w:id="10"/>
    </w:p>
    <w:p>
      <w:pPr>
        <w:pStyle w:val="22"/>
        <w:numPr>
          <w:ilvl w:val="0"/>
          <w:numId w:val="0"/>
        </w:numPr>
        <w:spacing w:line="600" w:lineRule="exact"/>
        <w:ind w:firstLine="640" w:firstLineChars="200"/>
        <w:outlineLvl w:val="1"/>
        <w:rPr>
          <w:rFonts w:hint="eastAsia" w:hAnsi="仿宋" w:eastAsia="仿宋_GB2312"/>
          <w:sz w:val="32"/>
          <w:szCs w:val="32"/>
          <w:lang w:val="en-US" w:eastAsia="zh-CN"/>
        </w:rPr>
      </w:pPr>
      <w:bookmarkStart w:id="11" w:name="_Toc1945077614"/>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21"/>
          <w:rFonts w:hint="eastAsia" w:ascii="黑体" w:hAnsi="黑体" w:eastAsia="黑体"/>
          <w:b w:val="0"/>
          <w:color w:val="auto"/>
          <w:highlight w:val="none"/>
        </w:rPr>
        <w:t>入决算情况说明</w:t>
      </w:r>
      <w:bookmarkEnd w:id="1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2023年度本年收入合计</w:t>
      </w:r>
      <w:r>
        <w:rPr>
          <w:rFonts w:hint="eastAsia" w:ascii="仿宋_GB2312" w:hAnsi="Times New Roman" w:eastAsia="仿宋_GB2312" w:cs="Times New Roman"/>
          <w:color w:val="auto"/>
          <w:sz w:val="32"/>
          <w:szCs w:val="32"/>
          <w:highlight w:val="none"/>
          <w:lang w:val="en-US" w:eastAsia="zh-CN"/>
        </w:rPr>
        <w:t>5</w:t>
      </w:r>
      <w:r>
        <w:rPr>
          <w:rFonts w:hint="eastAsia" w:ascii="仿宋_GB2312" w:eastAsia="仿宋_GB2312" w:cs="Times New Roman"/>
          <w:color w:val="auto"/>
          <w:sz w:val="32"/>
          <w:szCs w:val="32"/>
          <w:highlight w:val="none"/>
          <w:lang w:val="en-US" w:eastAsia="zh-CN"/>
        </w:rPr>
        <w:t>19.2</w:t>
      </w:r>
      <w:r>
        <w:rPr>
          <w:rFonts w:hint="eastAsia" w:ascii="仿宋_GB2312" w:hAnsi="Times New Roman" w:eastAsia="仿宋_GB2312" w:cs="Times New Roman"/>
          <w:color w:val="auto"/>
          <w:sz w:val="32"/>
          <w:szCs w:val="32"/>
          <w:highlight w:val="none"/>
          <w:lang w:val="en-US" w:eastAsia="zh-CN"/>
        </w:rPr>
        <w:t>万元，其中，一般公共预算财政拨款518.63万元，</w:t>
      </w:r>
      <w:r>
        <w:rPr>
          <w:rFonts w:hint="eastAsia" w:ascii="仿宋_GB2312" w:hAnsi="Times New Roman" w:eastAsia="仿宋_GB2312" w:cs="Times New Roman"/>
          <w:color w:val="auto"/>
          <w:sz w:val="32"/>
          <w:szCs w:val="32"/>
          <w:highlight w:val="none"/>
          <w:lang w:eastAsia="zh-CN"/>
        </w:rPr>
        <w:t>占</w:t>
      </w:r>
      <w:r>
        <w:rPr>
          <w:rFonts w:hint="eastAsia" w:ascii="仿宋_GB2312" w:hAnsi="Times New Roman" w:eastAsia="仿宋_GB2312" w:cs="Times New Roman"/>
          <w:color w:val="auto"/>
          <w:sz w:val="32"/>
          <w:szCs w:val="32"/>
          <w:highlight w:val="none"/>
          <w:lang w:val="en-US" w:eastAsia="zh-CN"/>
        </w:rPr>
        <w:t>9</w:t>
      </w:r>
      <w:r>
        <w:rPr>
          <w:rFonts w:hint="eastAsia" w:ascii="仿宋_GB2312" w:eastAsia="仿宋_GB2312" w:cs="Times New Roman"/>
          <w:color w:val="auto"/>
          <w:sz w:val="32"/>
          <w:szCs w:val="32"/>
          <w:highlight w:val="none"/>
          <w:lang w:val="en-US" w:eastAsia="zh-CN"/>
        </w:rPr>
        <w:t>9.89</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US" w:eastAsia="zh-CN"/>
        </w:rPr>
        <w:t>其他收入0.57万元，</w:t>
      </w:r>
      <w:r>
        <w:rPr>
          <w:rFonts w:hint="eastAsia" w:ascii="仿宋_GB2312" w:hAnsi="Times New Roman" w:eastAsia="仿宋_GB2312" w:cs="Times New Roman"/>
          <w:color w:val="auto"/>
          <w:sz w:val="32"/>
          <w:szCs w:val="32"/>
          <w:highlight w:val="none"/>
          <w:lang w:eastAsia="zh-CN"/>
        </w:rPr>
        <w:t>占</w:t>
      </w:r>
      <w:r>
        <w:rPr>
          <w:rFonts w:hint="eastAsia" w:ascii="仿宋_GB2312" w:hAnsi="Times New Roman" w:eastAsia="仿宋_GB2312" w:cs="Times New Roman"/>
          <w:color w:val="auto"/>
          <w:sz w:val="32"/>
          <w:szCs w:val="32"/>
          <w:highlight w:val="none"/>
          <w:lang w:val="en-US" w:eastAsia="zh-CN"/>
        </w:rPr>
        <w:t>0.11%</w:t>
      </w:r>
      <w:r>
        <w:rPr>
          <w:rFonts w:hint="eastAsia" w:ascii="仿宋_GB2312" w:hAnsi="Times New Roman" w:eastAsia="仿宋_GB2312" w:cs="Times New Roman"/>
          <w:color w:val="0000FF"/>
          <w:sz w:val="32"/>
          <w:szCs w:val="32"/>
          <w:highlight w:val="none"/>
          <w:lang w:val="en-US" w:eastAsia="zh-CN"/>
        </w:rPr>
        <w:t>。</w:t>
      </w:r>
    </w:p>
    <w:p>
      <w:pPr>
        <w:rPr>
          <w:rFonts w:hint="default"/>
          <w:lang w:val="en-US" w:eastAsia="zh-CN"/>
        </w:rPr>
      </w:pPr>
      <w:r>
        <w:rPr>
          <w:rFonts w:hint="default"/>
          <w:lang w:val="en-US" w:eastAsia="zh-CN"/>
        </w:rPr>
        <w:drawing>
          <wp:inline distT="0" distB="0" distL="114300" distR="114300">
            <wp:extent cx="4874895" cy="2946400"/>
            <wp:effectExtent l="4445" t="4445" r="16510" b="209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6"/>
        <w:spacing w:before="0" w:beforeAutospacing="0" w:after="0" w:afterAutospacing="0"/>
        <w:ind w:firstLine="640" w:firstLineChars="200"/>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6"/>
        <w:spacing w:before="0" w:beforeAutospacing="0" w:after="0" w:afterAutospacing="0"/>
        <w:ind w:firstLine="640" w:firstLineChars="200"/>
        <w:jc w:val="both"/>
        <w:outlineLvl w:val="1"/>
        <w:rPr>
          <w:rFonts w:hint="default"/>
          <w:lang w:val="en-US" w:eastAsia="zh-CN"/>
        </w:rPr>
      </w:pPr>
      <w:bookmarkStart w:id="12" w:name="_Toc841274770"/>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1"/>
          <w:rFonts w:hint="eastAsia" w:ascii="黑体" w:hAnsi="黑体" w:eastAsia="黑体"/>
          <w:b w:val="0"/>
          <w:color w:val="auto"/>
          <w:highlight w:val="none"/>
        </w:rPr>
        <w:t>出决算情况说明</w:t>
      </w:r>
      <w:bookmarkEnd w:id="12"/>
    </w:p>
    <w:p>
      <w:pPr>
        <w:pStyle w:val="15"/>
        <w:keepNext w:val="0"/>
        <w:keepLines w:val="0"/>
        <w:pageBreakBefore w:val="0"/>
        <w:kinsoku/>
        <w:wordWrap/>
        <w:overflowPunct/>
        <w:topLinePunct w:val="0"/>
        <w:autoSpaceDE/>
        <w:autoSpaceDN/>
        <w:bidi w:val="0"/>
        <w:adjustRightInd/>
        <w:snapToGrid/>
        <w:spacing w:after="0" w:line="576" w:lineRule="exact"/>
        <w:ind w:left="0" w:leftChars="0" w:firstLine="640" w:firstLineChars="200"/>
        <w:textAlignment w:val="auto"/>
        <w:rPr>
          <w:rFonts w:hint="eastAsia" w:hAnsi="仿宋" w:eastAsia="仿宋_GB2312"/>
          <w:sz w:val="32"/>
          <w:szCs w:val="32"/>
          <w:lang w:val="en-US" w:eastAsia="zh-CN"/>
        </w:rPr>
      </w:pPr>
      <w:r>
        <w:rPr>
          <w:rFonts w:hint="eastAsia" w:hAnsi="仿宋" w:eastAsia="仿宋_GB2312"/>
          <w:sz w:val="32"/>
          <w:szCs w:val="32"/>
          <w:lang w:val="en-US" w:eastAsia="zh-CN"/>
        </w:rPr>
        <w:t>2023年度</w:t>
      </w:r>
      <w:r>
        <w:rPr>
          <w:rFonts w:hint="eastAsia" w:ascii="仿宋" w:hAnsi="仿宋" w:eastAsia="仿宋"/>
          <w:color w:val="auto"/>
          <w:sz w:val="32"/>
          <w:szCs w:val="32"/>
          <w:highlight w:val="none"/>
        </w:rPr>
        <w:t>本年</w:t>
      </w:r>
      <w:r>
        <w:rPr>
          <w:rFonts w:hint="eastAsia" w:hAnsi="仿宋" w:eastAsia="仿宋_GB2312"/>
          <w:sz w:val="32"/>
          <w:szCs w:val="32"/>
          <w:lang w:val="en-US" w:eastAsia="zh-CN"/>
        </w:rPr>
        <w:t>支出合</w:t>
      </w:r>
      <w:r>
        <w:rPr>
          <w:rFonts w:hint="eastAsia" w:hAnsi="仿宋" w:eastAsia="仿宋_GB2312"/>
          <w:color w:val="auto"/>
          <w:sz w:val="32"/>
          <w:szCs w:val="32"/>
          <w:lang w:val="en-US" w:eastAsia="zh-CN"/>
        </w:rPr>
        <w:t>计528.2万元</w:t>
      </w:r>
      <w:r>
        <w:rPr>
          <w:rFonts w:hint="eastAsia" w:hAnsi="仿宋" w:eastAsia="仿宋_GB2312"/>
          <w:sz w:val="32"/>
          <w:szCs w:val="32"/>
          <w:lang w:val="en-US" w:eastAsia="zh-CN"/>
        </w:rPr>
        <w:t>，其中，基本支出443.53万元，占83.97%；项目支出84.66万元，16.03%</w:t>
      </w:r>
      <w:r>
        <w:rPr>
          <w:rFonts w:hint="eastAsia" w:hAnsi="仿宋" w:eastAsia="仿宋_GB2312"/>
          <w:color w:val="0070C0"/>
          <w:sz w:val="32"/>
          <w:szCs w:val="32"/>
          <w:lang w:val="en-US" w:eastAsia="zh-CN"/>
        </w:rPr>
        <w:t>。</w:t>
      </w:r>
    </w:p>
    <w:p>
      <w:pPr>
        <w:rPr>
          <w:rFonts w:hint="default"/>
          <w:lang w:val="en-US" w:eastAsia="zh-CN"/>
        </w:rPr>
      </w:pPr>
      <w:r>
        <w:rPr>
          <w:rFonts w:hint="default"/>
          <w:lang w:val="en-US" w:eastAsia="zh-CN"/>
        </w:rPr>
        <w:drawing>
          <wp:inline distT="0" distB="0" distL="114300" distR="114300">
            <wp:extent cx="4838700" cy="2293620"/>
            <wp:effectExtent l="5080" t="4445" r="13970" b="698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6"/>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640" w:firstLineChars="200"/>
        <w:jc w:val="both"/>
        <w:textAlignment w:val="auto"/>
        <w:outlineLvl w:val="1"/>
        <w:rPr>
          <w:rStyle w:val="21"/>
          <w:rFonts w:hint="eastAsia" w:ascii="黑体" w:hAnsi="黑体" w:eastAsia="黑体"/>
          <w:b w:val="0"/>
          <w:color w:val="auto"/>
          <w:highlight w:val="none"/>
        </w:rPr>
      </w:pPr>
      <w:bookmarkStart w:id="13" w:name="_Toc731960567"/>
      <w:r>
        <w:rPr>
          <w:rFonts w:hint="eastAsia" w:ascii="黑体" w:hAnsi="黑体" w:eastAsia="黑体"/>
          <w:color w:val="auto"/>
          <w:sz w:val="32"/>
          <w:szCs w:val="32"/>
          <w:highlight w:val="none"/>
          <w:lang w:eastAsia="zh-CN"/>
        </w:rPr>
        <w:t>四、</w:t>
      </w:r>
      <w:r>
        <w:rPr>
          <w:rFonts w:hint="eastAsia" w:ascii="黑体" w:hAnsi="黑体" w:eastAsia="黑体"/>
          <w:color w:val="auto"/>
          <w:sz w:val="32"/>
          <w:szCs w:val="32"/>
          <w:highlight w:val="none"/>
        </w:rPr>
        <w:t>财</w:t>
      </w:r>
      <w:r>
        <w:rPr>
          <w:rStyle w:val="21"/>
          <w:rFonts w:hint="eastAsia" w:ascii="黑体" w:hAnsi="黑体" w:eastAsia="黑体"/>
          <w:b w:val="0"/>
          <w:color w:val="auto"/>
          <w:highlight w:val="none"/>
        </w:rPr>
        <w:t>政拨款收入支出决算总体情况说明</w:t>
      </w:r>
      <w:bookmarkEnd w:id="1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2023年度财政拨款收、支总计均为</w:t>
      </w:r>
      <w:r>
        <w:rPr>
          <w:rFonts w:hint="eastAsia" w:ascii="仿宋_GB2312" w:hAnsi="Times New Roman" w:eastAsia="仿宋_GB2312" w:cs="Times New Roman"/>
          <w:color w:val="auto"/>
          <w:sz w:val="32"/>
          <w:szCs w:val="32"/>
          <w:highlight w:val="none"/>
          <w:lang w:val="en-US" w:eastAsia="zh-CN"/>
        </w:rPr>
        <w:t>518.63万元，与2022年相比，收、支总计各增加18.51万元，增长3.7%。主要变动原因是办公用房维修改造、退休干部职业年金做实和发放一次性“中人”补贴。</w:t>
      </w:r>
    </w:p>
    <w:p>
      <w:pPr>
        <w:rPr>
          <w:rFonts w:hint="default" w:eastAsia="宋体"/>
          <w:lang w:val="en-US" w:eastAsia="zh-CN"/>
        </w:rPr>
      </w:pPr>
      <w:r>
        <w:rPr>
          <w:rFonts w:hint="default" w:eastAsia="宋体"/>
          <w:lang w:val="en-US" w:eastAsia="zh-CN"/>
        </w:rPr>
        <w:drawing>
          <wp:inline distT="0" distB="0" distL="114300" distR="114300">
            <wp:extent cx="5006975" cy="3465830"/>
            <wp:effectExtent l="4445" t="4445" r="17780" b="1587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pStyle w:val="6"/>
        <w:jc w:val="center"/>
        <w:rPr>
          <w:rFonts w:hint="eastAsia"/>
        </w:rPr>
      </w:pPr>
      <w:r>
        <w:rPr>
          <w:rFonts w:hint="eastAsia" w:ascii="仿宋_GB2312" w:hAnsi="仿宋_GB2312" w:eastAsia="仿宋_GB2312" w:cs="仿宋_GB2312"/>
          <w:color w:val="auto"/>
          <w:sz w:val="32"/>
          <w:szCs w:val="32"/>
          <w:highlight w:val="none"/>
        </w:rPr>
        <w:t>（图4：财政拨款收、支决算总计变动情况）</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2" w:firstLineChars="200"/>
        <w:textAlignment w:val="auto"/>
        <w:outlineLvl w:val="1"/>
        <w:rPr>
          <w:rStyle w:val="21"/>
          <w:rFonts w:hint="eastAsia" w:ascii="黑体" w:hAnsi="黑体" w:eastAsia="黑体"/>
          <w:b w:val="0"/>
          <w:color w:val="auto"/>
          <w:highlight w:val="none"/>
        </w:rPr>
      </w:pPr>
      <w:bookmarkStart w:id="14" w:name="_Toc2093228139"/>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般公共预算财政拨款支出决算情况说明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outlineLvl w:val="2"/>
        <w:rPr>
          <w:rFonts w:hint="eastAsia"/>
        </w:rPr>
      </w:pPr>
      <w:r>
        <w:rPr>
          <w:rFonts w:hint="eastAsia" w:ascii="仿宋_GB2312" w:hAnsi="仿宋_GB2312" w:eastAsia="仿宋_GB2312" w:cs="仿宋_GB2312"/>
          <w:b/>
          <w:color w:val="auto"/>
          <w:sz w:val="32"/>
          <w:szCs w:val="32"/>
          <w:highlight w:val="none"/>
        </w:rPr>
        <w:t>（一）一般公共预算财政拨款支出决算总体情况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2023年度一般公共预算财政拨款支出</w:t>
      </w:r>
      <w:r>
        <w:rPr>
          <w:rFonts w:hint="eastAsia" w:ascii="仿宋_GB2312" w:hAnsi="Times New Roman" w:eastAsia="仿宋_GB2312" w:cs="Times New Roman"/>
          <w:color w:val="auto"/>
          <w:sz w:val="32"/>
          <w:szCs w:val="32"/>
          <w:highlight w:val="none"/>
          <w:lang w:val="en-US" w:eastAsia="zh-CN"/>
        </w:rPr>
        <w:t>518.63万元，</w:t>
      </w:r>
      <w:r>
        <w:rPr>
          <w:rFonts w:hint="eastAsia" w:ascii="仿宋_GB2312" w:hAnsi="Times New Roman" w:eastAsia="仿宋_GB2312" w:cs="Times New Roman"/>
          <w:color w:val="auto"/>
          <w:sz w:val="32"/>
          <w:szCs w:val="32"/>
          <w:highlight w:val="none"/>
          <w:lang w:eastAsia="zh-CN"/>
        </w:rPr>
        <w:t>占本年支出合计的</w:t>
      </w:r>
      <w:r>
        <w:rPr>
          <w:rFonts w:hint="eastAsia" w:ascii="仿宋_GB2312" w:hAnsi="Times New Roman" w:eastAsia="仿宋_GB2312" w:cs="Times New Roman"/>
          <w:color w:val="auto"/>
          <w:sz w:val="32"/>
          <w:szCs w:val="32"/>
          <w:highlight w:val="none"/>
          <w:lang w:val="en-US" w:eastAsia="zh-CN"/>
        </w:rPr>
        <w:t>98.1</w:t>
      </w:r>
      <w:r>
        <w:rPr>
          <w:rFonts w:hint="eastAsia" w:ascii="仿宋_GB2312" w:hAnsi="Times New Roman" w:eastAsia="仿宋_GB2312" w:cs="Times New Roman"/>
          <w:color w:val="auto"/>
          <w:sz w:val="32"/>
          <w:szCs w:val="32"/>
          <w:highlight w:val="none"/>
          <w:lang w:eastAsia="zh-CN"/>
        </w:rPr>
        <w:t>%。与2022年度相比</w:t>
      </w:r>
      <w:r>
        <w:rPr>
          <w:rFonts w:hint="eastAsia" w:ascii="仿宋_GB2312" w:hAnsi="Times New Roman"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一般公共预算财政拨款支出</w:t>
      </w:r>
      <w:r>
        <w:rPr>
          <w:rFonts w:hint="eastAsia" w:ascii="仿宋_GB2312" w:hAnsi="Times New Roman" w:eastAsia="仿宋_GB2312" w:cs="Times New Roman"/>
          <w:color w:val="auto"/>
          <w:sz w:val="32"/>
          <w:szCs w:val="32"/>
          <w:highlight w:val="none"/>
          <w:lang w:val="en-US" w:eastAsia="zh-CN"/>
        </w:rPr>
        <w:t>增加3.7%，主要变动原因是办公用房维修改造、退休干部职业年金做实和发放一次性“中人”补贴。</w:t>
      </w:r>
    </w:p>
    <w:p>
      <w:pPr>
        <w:rPr>
          <w:rFonts w:hint="default"/>
          <w:lang w:val="en-US" w:eastAsia="zh-CN"/>
        </w:rPr>
      </w:pPr>
      <w:r>
        <w:rPr>
          <w:rFonts w:hint="default"/>
          <w:lang w:val="en-US" w:eastAsia="zh-CN"/>
        </w:rPr>
        <w:drawing>
          <wp:inline distT="0" distB="0" distL="114300" distR="114300">
            <wp:extent cx="5086985" cy="2974975"/>
            <wp:effectExtent l="4445" t="4445" r="13970" b="1143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6"/>
        <w:spacing w:before="0" w:beforeAutospacing="0" w:after="0" w:afterAutospacing="0"/>
        <w:jc w:val="center"/>
        <w:rPr>
          <w:rFonts w:hint="default"/>
          <w:lang w:val="en-US" w:eastAsia="zh-CN"/>
        </w:rPr>
      </w:pPr>
      <w:r>
        <w:rPr>
          <w:rFonts w:hint="eastAsia" w:ascii="仿宋_GB2312" w:hAnsi="仿宋_GB2312" w:eastAsia="仿宋_GB2312" w:cs="仿宋_GB2312"/>
          <w:color w:val="auto"/>
          <w:sz w:val="32"/>
          <w:szCs w:val="32"/>
          <w:highlight w:val="none"/>
        </w:rPr>
        <w:t>（图5：一般公共预算财政拨款支出决算变动情况）</w:t>
      </w:r>
    </w:p>
    <w:p>
      <w:pPr>
        <w:keepNext w:val="0"/>
        <w:keepLines w:val="0"/>
        <w:pageBreakBefore w:val="0"/>
        <w:widowControl w:val="0"/>
        <w:numPr>
          <w:ilvl w:val="0"/>
          <w:numId w:val="2"/>
        </w:numPr>
        <w:kinsoku/>
        <w:wordWrap/>
        <w:overflowPunct/>
        <w:topLinePunct w:val="0"/>
        <w:autoSpaceDE/>
        <w:autoSpaceDN/>
        <w:bidi w:val="0"/>
        <w:adjustRightInd/>
        <w:snapToGrid w:val="0"/>
        <w:spacing w:line="576" w:lineRule="exact"/>
        <w:ind w:left="0" w:leftChars="0" w:firstLine="642"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b/>
          <w:color w:val="auto"/>
          <w:sz w:val="32"/>
          <w:szCs w:val="32"/>
          <w:highlight w:val="none"/>
        </w:rPr>
        <w:t>一般公共预算财政拨款支出决算结构情况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2023年度一般公共预算财政拨款支出518.63万元，主要用于以下方面</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一般公共服务支出359.93万元，占69.4%；社会保障和就业支出112.06万元，占21.61%；卫生健康支出13.14万元，占2.53%；住房保障支出33.5万元，占6.46%。</w:t>
      </w: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640" w:firstLineChars="200"/>
        <w:textAlignment w:val="auto"/>
        <w:rPr>
          <w:rFonts w:hint="eastAsia" w:ascii="仿宋" w:hAnsi="仿宋" w:eastAsia="仿宋"/>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0" w:firstLineChars="0"/>
        <w:textAlignment w:val="auto"/>
        <w:rPr>
          <w:rFonts w:hint="eastAsia" w:ascii="仿宋" w:hAnsi="仿宋" w:eastAsia="仿宋"/>
          <w:color w:val="auto"/>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val="0"/>
        <w:spacing w:line="20" w:lineRule="exact"/>
        <w:ind w:firstLine="640" w:firstLineChars="200"/>
        <w:textAlignment w:val="auto"/>
        <w:rPr>
          <w:rFonts w:hint="eastAsia" w:ascii="仿宋" w:hAnsi="仿宋" w:eastAsia="仿宋"/>
          <w:color w:val="auto"/>
          <w:sz w:val="32"/>
          <w:szCs w:val="32"/>
          <w:highlight w:val="none"/>
          <w:lang w:eastAsia="zh-CN"/>
        </w:rPr>
      </w:pPr>
    </w:p>
    <w:p>
      <w:pPr>
        <w:pStyle w:val="6"/>
        <w:widowControl/>
        <w:numPr>
          <w:ilvl w:val="0"/>
          <w:numId w:val="0"/>
        </w:numPr>
        <w:spacing w:before="100" w:beforeAutospacing="1" w:after="100" w:afterAutospacing="1"/>
        <w:jc w:val="left"/>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5166995" cy="2330450"/>
            <wp:effectExtent l="4445" t="4445" r="10160" b="825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pStyle w:val="6"/>
        <w:widowControl/>
        <w:numPr>
          <w:ilvl w:val="0"/>
          <w:numId w:val="0"/>
        </w:numPr>
        <w:spacing w:before="100" w:beforeAutospacing="1" w:after="100" w:afterAutospacing="1"/>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（图6：一般公共预算财政拨款支出决算结构）</w:t>
      </w:r>
    </w:p>
    <w:p>
      <w:pPr>
        <w:pStyle w:val="6"/>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76"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eastAsia="zh-CN"/>
        </w:rPr>
        <w:t>（三）</w:t>
      </w:r>
      <w:r>
        <w:rPr>
          <w:rFonts w:hint="eastAsia" w:ascii="仿宋_GB2312" w:hAnsi="仿宋_GB2312" w:eastAsia="仿宋_GB2312" w:cs="仿宋_GB2312"/>
          <w:b/>
          <w:color w:val="auto"/>
          <w:sz w:val="32"/>
          <w:szCs w:val="32"/>
          <w:highlight w:val="none"/>
        </w:rPr>
        <w:t>一般公共预算财政拨款支出决算具体情况</w:t>
      </w:r>
    </w:p>
    <w:bookmarkEnd w:id="1"/>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2023年度一般公共预算支出决算数为</w:t>
      </w:r>
      <w:r>
        <w:rPr>
          <w:rFonts w:hint="eastAsia" w:ascii="仿宋_GB2312" w:hAnsi="Times New Roman" w:eastAsia="仿宋_GB2312" w:cs="Times New Roman"/>
          <w:color w:val="auto"/>
          <w:sz w:val="32"/>
          <w:szCs w:val="32"/>
          <w:highlight w:val="none"/>
          <w:lang w:val="en-US" w:eastAsia="zh-CN"/>
        </w:rPr>
        <w:t>518.63</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%。其中：</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一般公共服务（类）政府办公厅（室）及相关机构事务（款）行政运行（项）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支出决算为</w:t>
      </w:r>
      <w:r>
        <w:rPr>
          <w:rFonts w:hint="eastAsia" w:ascii="仿宋_GB2312" w:hAnsi="Times New Roman" w:eastAsia="仿宋_GB2312" w:cs="Times New Roman"/>
          <w:color w:val="auto"/>
          <w:sz w:val="32"/>
          <w:szCs w:val="32"/>
          <w:highlight w:val="none"/>
          <w:lang w:val="en-US" w:eastAsia="zh-CN"/>
        </w:rPr>
        <w:t>284.43</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一般公共服务（类）政府办公厅（室）及相关机构事务（款）一般行政管理事务（项）</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eastAsia="zh-CN"/>
        </w:rPr>
        <w:t>支出决算为</w:t>
      </w:r>
      <w:r>
        <w:rPr>
          <w:rFonts w:hint="eastAsia" w:ascii="仿宋_GB2312" w:hAnsi="Times New Roman" w:eastAsia="仿宋_GB2312" w:cs="Times New Roman"/>
          <w:color w:val="auto"/>
          <w:sz w:val="32"/>
          <w:szCs w:val="32"/>
          <w:highlight w:val="none"/>
          <w:lang w:val="en-US" w:eastAsia="zh-CN"/>
        </w:rPr>
        <w:t>75.5</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社会保障和就业（类）行政事业单位养老支出（款）行政单位离退休（项）：支出决算数为67.35万元，完成预算100%。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社会保障和就业（类）行政事业单位养老支出（款）机关事业单位基本养老保险缴费支出（项）：支出决算数为36.56万元，完成预算100%。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社会保障和就业（类）行政事业单位养老支出（款）机关事业单位职业年金缴费支出（项）：支出决算数为7.76万元，完成预算100%。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社会保障和就业（类）其他社会保障和就业支出（款）其他社会保障和就业支出（项）：支出决算数为0.4万元，完成预算100%。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卫生健康（类）行政事业单位医疗（款）行政单位医疗（项）</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支出决算数13.14万元，完成预算100%。</w:t>
      </w:r>
    </w:p>
    <w:p>
      <w:pPr>
        <w:keepNext w:val="0"/>
        <w:keepLines w:val="0"/>
        <w:pageBreakBefore w:val="0"/>
        <w:widowControl w:val="0"/>
        <w:numPr>
          <w:ilvl w:val="0"/>
          <w:numId w:val="3"/>
        </w:numPr>
        <w:kinsoku/>
        <w:wordWrap/>
        <w:overflowPunct/>
        <w:topLinePunct w:val="0"/>
        <w:autoSpaceDE w:val="0"/>
        <w:autoSpaceDN w:val="0"/>
        <w:bidi w:val="0"/>
        <w:adjustRightInd w:val="0"/>
        <w:snapToGrid/>
        <w:spacing w:line="576" w:lineRule="exact"/>
        <w:ind w:left="0" w:leftChars="0" w:firstLine="400" w:firstLineChars="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住房保障支出（类）住房改革支出（款）住房公积金（项）：支出决算数为33.50万元，完成预算100%。</w:t>
      </w:r>
    </w:p>
    <w:p>
      <w:pPr>
        <w:pStyle w:val="6"/>
        <w:keepNext w:val="0"/>
        <w:keepLines w:val="0"/>
        <w:pageBreakBefore w:val="0"/>
        <w:widowControl/>
        <w:kinsoku/>
        <w:wordWrap/>
        <w:overflowPunct/>
        <w:topLinePunct w:val="0"/>
        <w:autoSpaceDE/>
        <w:autoSpaceDN/>
        <w:bidi w:val="0"/>
        <w:adjustRightInd/>
        <w:snapToGrid/>
        <w:spacing w:before="0" w:beforeAutospacing="0" w:after="0" w:afterAutospacing="0" w:line="576" w:lineRule="exact"/>
        <w:ind w:firstLine="640" w:firstLineChars="200"/>
        <w:textAlignment w:val="auto"/>
        <w:outlineLvl w:val="1"/>
        <w:rPr>
          <w:rStyle w:val="21"/>
          <w:rFonts w:hint="eastAsia" w:ascii="黑体" w:hAnsi="黑体" w:eastAsia="黑体"/>
          <w:b w:val="0"/>
          <w:color w:val="auto"/>
          <w:highlight w:val="none"/>
        </w:rPr>
      </w:pPr>
      <w:bookmarkStart w:id="15" w:name="_Toc710782743"/>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1"/>
          <w:rFonts w:hint="eastAsia" w:ascii="黑体" w:hAnsi="黑体" w:eastAsia="黑体"/>
          <w:b w:val="0"/>
          <w:color w:val="auto"/>
          <w:highlight w:val="none"/>
        </w:rPr>
        <w:t>般公共预算财政拨款基本支出决算情况说明</w:t>
      </w:r>
      <w:bookmarkEnd w:id="15"/>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年一般公共预算财政拨款基本支出</w:t>
      </w:r>
      <w:r>
        <w:rPr>
          <w:rFonts w:hint="eastAsia" w:ascii="仿宋_GB2312" w:hAnsi="Times New Roman" w:eastAsia="仿宋_GB2312" w:cs="Times New Roman"/>
          <w:color w:val="auto"/>
          <w:sz w:val="32"/>
          <w:szCs w:val="32"/>
          <w:highlight w:val="none"/>
          <w:lang w:val="en-US" w:eastAsia="zh-CN"/>
        </w:rPr>
        <w:t>443.13</w:t>
      </w:r>
      <w:r>
        <w:rPr>
          <w:rFonts w:hint="eastAsia" w:ascii="仿宋_GB2312" w:hAnsi="Times New Roman" w:eastAsia="仿宋_GB2312" w:cs="Times New Roman"/>
          <w:color w:val="auto"/>
          <w:sz w:val="32"/>
          <w:szCs w:val="32"/>
          <w:highlight w:val="none"/>
          <w:lang w:eastAsia="zh-CN"/>
        </w:rPr>
        <w:t>万元，其中：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人员经费</w:t>
      </w:r>
      <w:r>
        <w:rPr>
          <w:rFonts w:hint="eastAsia" w:ascii="仿宋_GB2312" w:hAnsi="Times New Roman" w:eastAsia="仿宋_GB2312" w:cs="Times New Roman"/>
          <w:color w:val="auto"/>
          <w:sz w:val="32"/>
          <w:szCs w:val="32"/>
          <w:highlight w:val="none"/>
          <w:lang w:val="en-US" w:eastAsia="zh-CN"/>
        </w:rPr>
        <w:t>384.82</w:t>
      </w:r>
      <w:r>
        <w:rPr>
          <w:rFonts w:hint="eastAsia" w:ascii="仿宋_GB2312" w:hAnsi="Times New Roman" w:eastAsia="仿宋_GB2312" w:cs="Times New Roman"/>
          <w:color w:val="auto"/>
          <w:sz w:val="32"/>
          <w:szCs w:val="32"/>
          <w:highlight w:val="none"/>
          <w:lang w:eastAsia="zh-CN"/>
        </w:rPr>
        <w:t>万元，主要包括：基本工资、津贴补贴、奖金、机关事业单位基本养老保险缴费、职业年金缴费、职工基本医疗保险缴费、其他社会保障缴费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住房公积金</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生活补助、奖励金。</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公用经费</w:t>
      </w:r>
      <w:r>
        <w:rPr>
          <w:rFonts w:hint="eastAsia" w:ascii="仿宋_GB2312" w:hAnsi="Times New Roman" w:eastAsia="仿宋_GB2312" w:cs="Times New Roman"/>
          <w:color w:val="auto"/>
          <w:sz w:val="32"/>
          <w:szCs w:val="32"/>
          <w:highlight w:val="none"/>
          <w:lang w:val="en-US" w:eastAsia="zh-CN"/>
        </w:rPr>
        <w:t>58.31</w:t>
      </w:r>
      <w:r>
        <w:rPr>
          <w:rFonts w:hint="eastAsia" w:ascii="仿宋_GB2312" w:hAnsi="Times New Roman" w:eastAsia="仿宋_GB2312" w:cs="Times New Roman"/>
          <w:color w:val="auto"/>
          <w:sz w:val="32"/>
          <w:szCs w:val="32"/>
          <w:highlight w:val="none"/>
          <w:lang w:eastAsia="zh-CN"/>
        </w:rPr>
        <w:t>万元，主要包括：办公费、印刷费、水费、电费、邮电费、物业管理费</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差旅费、会议费、培训费、公务接待费、工会经费、福利费、其他交通费</w:t>
      </w:r>
      <w:r>
        <w:rPr>
          <w:rFonts w:hint="eastAsia" w:ascii="仿宋_GB2312" w:eastAsia="仿宋_GB2312" w:cs="Times New Roman"/>
          <w:color w:val="auto"/>
          <w:sz w:val="32"/>
          <w:szCs w:val="32"/>
          <w:highlight w:val="none"/>
          <w:lang w:val="en-US" w:eastAsia="zh-CN"/>
        </w:rPr>
        <w:t>用</w:t>
      </w:r>
      <w:r>
        <w:rPr>
          <w:rFonts w:hint="eastAsia" w:ascii="仿宋_GB2312" w:hAnsi="Times New Roman" w:eastAsia="仿宋_GB2312" w:cs="Times New Roman"/>
          <w:color w:val="auto"/>
          <w:sz w:val="32"/>
          <w:szCs w:val="32"/>
          <w:highlight w:val="none"/>
          <w:lang w:eastAsia="zh-CN"/>
        </w:rPr>
        <w:t>、其他商品和服务支出。</w:t>
      </w:r>
    </w:p>
    <w:p>
      <w:pPr>
        <w:spacing w:line="600" w:lineRule="exact"/>
        <w:ind w:firstLine="640"/>
        <w:outlineLvl w:val="1"/>
        <w:rPr>
          <w:rStyle w:val="21"/>
          <w:rFonts w:ascii="黑体" w:hAnsi="黑体" w:eastAsia="黑体"/>
          <w:b w:val="0"/>
          <w:color w:val="auto"/>
          <w:highlight w:val="none"/>
        </w:rPr>
      </w:pPr>
      <w:bookmarkStart w:id="16" w:name="_Toc15396609"/>
      <w:bookmarkStart w:id="17" w:name="_Toc921647354"/>
      <w:bookmarkStart w:id="18" w:name="_Toc2141511914"/>
      <w:bookmarkStart w:id="19" w:name="_Toc15377215"/>
      <w:r>
        <w:rPr>
          <w:rFonts w:hint="eastAsia" w:ascii="黑体" w:eastAsia="黑体"/>
          <w:color w:val="auto"/>
          <w:sz w:val="32"/>
          <w:szCs w:val="32"/>
          <w:highlight w:val="none"/>
        </w:rPr>
        <w:t>七、</w:t>
      </w:r>
      <w:r>
        <w:rPr>
          <w:rStyle w:val="21"/>
          <w:rFonts w:hint="eastAsia" w:ascii="黑体" w:hAnsi="黑体" w:eastAsia="黑体"/>
          <w:b w:val="0"/>
          <w:color w:val="auto"/>
          <w:highlight w:val="none"/>
        </w:rPr>
        <w:t>财政拨款</w:t>
      </w:r>
      <w:r>
        <w:rPr>
          <w:rStyle w:val="21"/>
          <w:rFonts w:hint="eastAsia" w:ascii="黑体" w:hAnsi="黑体" w:eastAsia="黑体"/>
          <w:color w:val="auto"/>
          <w:highlight w:val="none"/>
        </w:rPr>
        <w:t>“</w:t>
      </w:r>
      <w:r>
        <w:rPr>
          <w:rStyle w:val="21"/>
          <w:rFonts w:hint="eastAsia" w:ascii="黑体" w:hAnsi="黑体" w:eastAsia="黑体"/>
          <w:b w:val="0"/>
          <w:color w:val="auto"/>
          <w:highlight w:val="none"/>
        </w:rPr>
        <w:t>三公”经费支出决算情况说明</w:t>
      </w:r>
      <w:bookmarkEnd w:id="16"/>
      <w:bookmarkEnd w:id="17"/>
      <w:bookmarkEnd w:id="18"/>
      <w:bookmarkEnd w:id="19"/>
    </w:p>
    <w:p>
      <w:pPr>
        <w:spacing w:line="600" w:lineRule="exact"/>
        <w:ind w:firstLine="640"/>
        <w:outlineLvl w:val="2"/>
        <w:rPr>
          <w:rFonts w:ascii="仿宋" w:hAnsi="仿宋" w:eastAsia="仿宋"/>
          <w:b/>
          <w:color w:val="auto"/>
          <w:sz w:val="32"/>
          <w:szCs w:val="32"/>
          <w:highlight w:val="none"/>
        </w:rPr>
      </w:pPr>
      <w:bookmarkStart w:id="20" w:name="_Toc15377216"/>
      <w:bookmarkStart w:id="21" w:name="_Toc1701425673"/>
      <w:r>
        <w:rPr>
          <w:rFonts w:hint="eastAsia" w:ascii="仿宋" w:hAnsi="仿宋" w:eastAsia="仿宋"/>
          <w:b/>
          <w:color w:val="auto"/>
          <w:sz w:val="32"/>
          <w:szCs w:val="32"/>
          <w:highlight w:val="none"/>
        </w:rPr>
        <w:t>（一）“三公”经费财政拨款支出决算总体情况说明</w:t>
      </w:r>
      <w:bookmarkEnd w:id="20"/>
      <w:bookmarkEnd w:id="2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年“三公”经费财政拨款支出决算为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%，公务接待费支出决算较20</w:t>
      </w:r>
      <w:r>
        <w:rPr>
          <w:rFonts w:hint="eastAsia" w:ascii="仿宋_GB2312" w:hAnsi="Times New Roman" w:eastAsia="仿宋_GB2312" w:cs="Times New Roman"/>
          <w:color w:val="auto"/>
          <w:sz w:val="32"/>
          <w:szCs w:val="32"/>
          <w:highlight w:val="none"/>
          <w:lang w:val="en-US" w:eastAsia="zh-CN"/>
        </w:rPr>
        <w:t>22</w:t>
      </w:r>
      <w:r>
        <w:rPr>
          <w:rFonts w:hint="eastAsia" w:ascii="仿宋_GB2312" w:hAnsi="Times New Roman" w:eastAsia="仿宋_GB2312" w:cs="Times New Roman"/>
          <w:color w:val="auto"/>
          <w:sz w:val="32"/>
          <w:szCs w:val="32"/>
          <w:highlight w:val="none"/>
          <w:lang w:eastAsia="zh-CN"/>
        </w:rPr>
        <w:t>年无变化</w:t>
      </w:r>
      <w:r>
        <w:rPr>
          <w:rFonts w:hint="eastAsia" w:ascii="仿宋_GB2312" w:eastAsia="仿宋_GB2312" w:cs="Times New Roman"/>
          <w:color w:val="auto"/>
          <w:sz w:val="32"/>
          <w:szCs w:val="32"/>
          <w:highlight w:val="none"/>
          <w:lang w:eastAsia="zh-CN"/>
        </w:rPr>
        <w:t>，</w:t>
      </w:r>
      <w:r>
        <w:rPr>
          <w:rFonts w:hint="eastAsia" w:ascii="仿宋_GB2312" w:eastAsia="仿宋_GB2312" w:cs="Times New Roman"/>
          <w:color w:val="auto"/>
          <w:sz w:val="32"/>
          <w:szCs w:val="32"/>
          <w:highlight w:val="none"/>
          <w:lang w:val="en-US" w:eastAsia="zh-CN"/>
        </w:rPr>
        <w:t>预算数与决算数持平</w:t>
      </w:r>
      <w:r>
        <w:rPr>
          <w:rFonts w:hint="eastAsia" w:ascii="仿宋_GB2312" w:hAnsi="Times New Roman" w:eastAsia="仿宋_GB2312" w:cs="Times New Roman"/>
          <w:color w:val="auto"/>
          <w:sz w:val="32"/>
          <w:szCs w:val="32"/>
          <w:highlight w:val="none"/>
          <w:lang w:val="en-US" w:eastAsia="zh-CN"/>
        </w:rPr>
        <w:t>。</w:t>
      </w:r>
    </w:p>
    <w:p>
      <w:pPr>
        <w:spacing w:line="600" w:lineRule="exact"/>
        <w:ind w:firstLine="640"/>
        <w:outlineLvl w:val="2"/>
        <w:rPr>
          <w:rFonts w:ascii="仿宋" w:hAnsi="仿宋" w:eastAsia="仿宋"/>
          <w:b/>
          <w:color w:val="auto"/>
          <w:sz w:val="32"/>
          <w:szCs w:val="32"/>
          <w:highlight w:val="none"/>
        </w:rPr>
      </w:pPr>
      <w:bookmarkStart w:id="22" w:name="_Toc15377217"/>
      <w:bookmarkStart w:id="23" w:name="_Toc1055873064"/>
      <w:r>
        <w:rPr>
          <w:rFonts w:hint="eastAsia" w:ascii="仿宋" w:hAnsi="仿宋" w:eastAsia="仿宋"/>
          <w:b/>
          <w:color w:val="auto"/>
          <w:sz w:val="32"/>
          <w:szCs w:val="32"/>
          <w:highlight w:val="none"/>
        </w:rPr>
        <w:t>（二）“三公”经费财政拨款支出决算具体情况说明</w:t>
      </w:r>
      <w:bookmarkEnd w:id="22"/>
      <w:bookmarkEnd w:id="23"/>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年“三公”经费财政拨款支出决算中，因公出国（境）费支出决算</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万元；公务用车购置及运行维护费支出决算</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万元；公务接待费支出决算</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万元，占</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%。具体情况如下：</w:t>
      </w:r>
    </w:p>
    <w:p>
      <w:pPr>
        <w:pStyle w:val="6"/>
        <w:rPr>
          <w:rFonts w:hint="eastAsia" w:eastAsia="仿宋_GB2312"/>
          <w:lang w:val="en-US" w:eastAsia="zh-CN"/>
        </w:rPr>
      </w:pPr>
      <w:r>
        <w:rPr>
          <w:rFonts w:hint="eastAsia" w:eastAsia="仿宋_GB2312"/>
          <w:lang w:val="en-US" w:eastAsia="zh-CN"/>
        </w:rPr>
        <w:drawing>
          <wp:inline distT="0" distB="0" distL="114300" distR="114300">
            <wp:extent cx="4897755" cy="2660015"/>
            <wp:effectExtent l="4445" t="4445" r="12700" b="2159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（图7：“三公”经费财政拨款支出结构）</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1.因公出国（境）经费支出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万元，年初未安排预算，</w:t>
      </w:r>
      <w:r>
        <w:rPr>
          <w:rFonts w:hint="eastAsia" w:ascii="仿宋_GB2312" w:hAnsi="Times New Roman" w:eastAsia="仿宋_GB2312" w:cs="Times New Roman"/>
          <w:color w:val="auto"/>
          <w:sz w:val="32"/>
          <w:szCs w:val="32"/>
          <w:highlight w:val="none"/>
          <w:lang w:val="en-US" w:eastAsia="zh-CN"/>
        </w:rPr>
        <w:t>因公出国</w:t>
      </w:r>
      <w:r>
        <w:rPr>
          <w:rFonts w:hint="eastAsia" w:ascii="仿宋_GB2312" w:hAnsi="Times New Roman" w:eastAsia="仿宋_GB2312" w:cs="Times New Roman"/>
          <w:color w:val="auto"/>
          <w:sz w:val="32"/>
          <w:szCs w:val="32"/>
          <w:highlight w:val="none"/>
          <w:lang w:eastAsia="zh-CN"/>
        </w:rPr>
        <w:t>（境）</w:t>
      </w:r>
      <w:r>
        <w:rPr>
          <w:rFonts w:hint="eastAsia" w:ascii="仿宋_GB2312" w:hAnsi="Times New Roman" w:eastAsia="仿宋_GB2312" w:cs="Times New Roman"/>
          <w:color w:val="auto"/>
          <w:sz w:val="32"/>
          <w:szCs w:val="32"/>
          <w:highlight w:val="none"/>
          <w:lang w:val="en-US" w:eastAsia="zh-CN"/>
        </w:rPr>
        <w:t>支出决算较2022年无变化</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2.公务用车购置及运行维护费支出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年初未安排预算，公务用车购置及运行维护费支出决算较202</w:t>
      </w:r>
      <w:r>
        <w:rPr>
          <w:rFonts w:hint="eastAsia" w:ascii="仿宋_GB2312" w:hAnsi="Times New Roman" w:eastAsia="仿宋_GB2312" w:cs="Times New Roman"/>
          <w:color w:val="auto"/>
          <w:sz w:val="32"/>
          <w:szCs w:val="32"/>
          <w:highlight w:val="none"/>
          <w:lang w:val="en-US" w:eastAsia="zh-CN"/>
        </w:rPr>
        <w:t>2</w:t>
      </w:r>
      <w:r>
        <w:rPr>
          <w:rFonts w:hint="eastAsia" w:ascii="仿宋_GB2312" w:hAnsi="Times New Roman" w:eastAsia="仿宋_GB2312" w:cs="Times New Roman"/>
          <w:color w:val="auto"/>
          <w:sz w:val="32"/>
          <w:szCs w:val="32"/>
          <w:highlight w:val="none"/>
          <w:lang w:eastAsia="zh-CN"/>
        </w:rPr>
        <w:t>年无变化。单位无公务用车。</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3.公务接待费支出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万元，完成预算</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%。公务接待费支出决算较20</w:t>
      </w:r>
      <w:r>
        <w:rPr>
          <w:rFonts w:hint="eastAsia" w:ascii="仿宋_GB2312" w:hAnsi="Times New Roman" w:eastAsia="仿宋_GB2312" w:cs="Times New Roman"/>
          <w:color w:val="auto"/>
          <w:sz w:val="32"/>
          <w:szCs w:val="32"/>
          <w:highlight w:val="none"/>
          <w:lang w:val="en-US" w:eastAsia="zh-CN"/>
        </w:rPr>
        <w:t>22</w:t>
      </w:r>
      <w:r>
        <w:rPr>
          <w:rFonts w:hint="eastAsia" w:ascii="仿宋_GB2312" w:hAnsi="Times New Roman" w:eastAsia="仿宋_GB2312" w:cs="Times New Roman"/>
          <w:color w:val="auto"/>
          <w:sz w:val="32"/>
          <w:szCs w:val="32"/>
          <w:highlight w:val="none"/>
          <w:lang w:eastAsia="zh-CN"/>
        </w:rPr>
        <w:t>年无变化。其中：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国内公务接待支出</w:t>
      </w:r>
      <w:r>
        <w:rPr>
          <w:rFonts w:hint="eastAsia" w:ascii="仿宋_GB2312" w:hAnsi="Times New Roman" w:eastAsia="仿宋_GB2312" w:cs="Times New Roman"/>
          <w:color w:val="auto"/>
          <w:sz w:val="32"/>
          <w:szCs w:val="32"/>
          <w:highlight w:val="none"/>
          <w:lang w:val="en-US" w:eastAsia="zh-CN"/>
        </w:rPr>
        <w:t>0.4万元，</w:t>
      </w:r>
      <w:r>
        <w:rPr>
          <w:rFonts w:hint="eastAsia" w:ascii="仿宋_GB2312" w:hAnsi="Times New Roman" w:eastAsia="仿宋_GB2312" w:cs="Times New Roman"/>
          <w:color w:val="auto"/>
          <w:sz w:val="32"/>
          <w:szCs w:val="32"/>
          <w:highlight w:val="none"/>
          <w:lang w:eastAsia="zh-CN"/>
        </w:rPr>
        <w:t>主要用于上级部门、其他金融机构来广开展工作接待费。国内公务接待</w:t>
      </w:r>
      <w:r>
        <w:rPr>
          <w:rFonts w:hint="eastAsia" w:ascii="仿宋_GB2312" w:hAnsi="Times New Roman" w:eastAsia="仿宋_GB2312" w:cs="Times New Roman"/>
          <w:color w:val="auto"/>
          <w:sz w:val="32"/>
          <w:szCs w:val="32"/>
          <w:highlight w:val="none"/>
          <w:lang w:val="en-US" w:eastAsia="zh-CN"/>
        </w:rPr>
        <w:t>6</w:t>
      </w:r>
      <w:r>
        <w:rPr>
          <w:rFonts w:hint="eastAsia" w:ascii="仿宋_GB2312" w:hAnsi="Times New Roman" w:eastAsia="仿宋_GB2312" w:cs="Times New Roman"/>
          <w:color w:val="auto"/>
          <w:sz w:val="32"/>
          <w:szCs w:val="32"/>
          <w:highlight w:val="none"/>
          <w:lang w:eastAsia="zh-CN"/>
        </w:rPr>
        <w:t>批次，</w:t>
      </w:r>
      <w:r>
        <w:rPr>
          <w:rFonts w:hint="eastAsia" w:ascii="仿宋_GB2312" w:hAnsi="Times New Roman" w:eastAsia="仿宋_GB2312" w:cs="Times New Roman"/>
          <w:color w:val="auto"/>
          <w:sz w:val="32"/>
          <w:szCs w:val="32"/>
          <w:highlight w:val="none"/>
          <w:lang w:val="en-US" w:eastAsia="zh-CN"/>
        </w:rPr>
        <w:t>32</w:t>
      </w:r>
      <w:r>
        <w:rPr>
          <w:rFonts w:hint="eastAsia" w:ascii="仿宋_GB2312" w:hAnsi="Times New Roman" w:eastAsia="仿宋_GB2312" w:cs="Times New Roman"/>
          <w:color w:val="auto"/>
          <w:sz w:val="32"/>
          <w:szCs w:val="32"/>
          <w:highlight w:val="none"/>
          <w:lang w:eastAsia="zh-CN"/>
        </w:rPr>
        <w:t>人次（不包括陪同人员），共计支出</w:t>
      </w:r>
      <w:r>
        <w:rPr>
          <w:rFonts w:hint="eastAsia" w:ascii="仿宋_GB2312" w:hAnsi="Times New Roman" w:eastAsia="仿宋_GB2312" w:cs="Times New Roman"/>
          <w:color w:val="auto"/>
          <w:sz w:val="32"/>
          <w:szCs w:val="32"/>
          <w:highlight w:val="none"/>
          <w:lang w:val="en-US" w:eastAsia="zh-CN"/>
        </w:rPr>
        <w:t>0.4</w:t>
      </w:r>
      <w:r>
        <w:rPr>
          <w:rFonts w:hint="eastAsia" w:ascii="仿宋_GB2312" w:hAnsi="Times New Roman" w:eastAsia="仿宋_GB2312" w:cs="Times New Roman"/>
          <w:color w:val="auto"/>
          <w:sz w:val="32"/>
          <w:szCs w:val="32"/>
          <w:highlight w:val="none"/>
          <w:lang w:eastAsia="zh-CN"/>
        </w:rPr>
        <w:t>万元，具体内容包括</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val="en" w:eastAsia="zh-CN"/>
        </w:rPr>
        <w:t>省</w:t>
      </w:r>
      <w:r>
        <w:rPr>
          <w:rFonts w:hint="eastAsia" w:ascii="仿宋_GB2312" w:hAnsi="Times New Roman" w:eastAsia="仿宋_GB2312" w:cs="Times New Roman"/>
          <w:color w:val="auto"/>
          <w:sz w:val="32"/>
          <w:szCs w:val="32"/>
          <w:highlight w:val="none"/>
          <w:lang w:val="en-US" w:eastAsia="zh-CN"/>
        </w:rPr>
        <w:t>国开行2次来广调研项目</w:t>
      </w:r>
      <w:r>
        <w:rPr>
          <w:rFonts w:hint="eastAsia" w:ascii="仿宋_GB2312" w:eastAsia="仿宋_GB2312" w:cs="Times New Roman"/>
          <w:color w:val="auto"/>
          <w:sz w:val="32"/>
          <w:szCs w:val="32"/>
          <w:highlight w:val="none"/>
          <w:lang w:val="en-US" w:eastAsia="zh-CN"/>
        </w:rPr>
        <w:t>融</w:t>
      </w:r>
      <w:r>
        <w:rPr>
          <w:rFonts w:hint="eastAsia" w:ascii="仿宋_GB2312" w:hAnsi="Times New Roman" w:eastAsia="仿宋_GB2312" w:cs="Times New Roman"/>
          <w:color w:val="auto"/>
          <w:sz w:val="32"/>
          <w:szCs w:val="32"/>
          <w:highlight w:val="none"/>
          <w:lang w:val="en-US" w:eastAsia="zh-CN"/>
        </w:rPr>
        <w:t>资接待费0.24万元，四川银行来广调研设立分支机构接待费0.16万元</w:t>
      </w:r>
      <w:r>
        <w:rPr>
          <w:rFonts w:hint="eastAsia" w:ascii="仿宋_GB2312" w:hAnsi="Times New Roman" w:eastAsia="仿宋_GB2312" w:cs="Times New Roman"/>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外事接待支出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spacing w:line="600" w:lineRule="exact"/>
        <w:ind w:firstLine="640"/>
        <w:outlineLvl w:val="1"/>
        <w:rPr>
          <w:rStyle w:val="21"/>
          <w:rFonts w:ascii="黑体" w:hAnsi="黑体" w:eastAsia="黑体"/>
          <w:color w:val="auto"/>
          <w:highlight w:val="none"/>
        </w:rPr>
      </w:pPr>
      <w:bookmarkStart w:id="24" w:name="_Toc1807820579"/>
      <w:bookmarkStart w:id="25" w:name="_Toc15396610"/>
      <w:bookmarkStart w:id="26" w:name="_Toc15377218"/>
      <w:bookmarkStart w:id="27" w:name="_Toc1469991429"/>
      <w:r>
        <w:rPr>
          <w:rFonts w:hint="eastAsia" w:ascii="黑体" w:eastAsia="黑体"/>
          <w:color w:val="auto"/>
          <w:sz w:val="32"/>
          <w:szCs w:val="32"/>
          <w:highlight w:val="none"/>
        </w:rPr>
        <w:t>八、</w:t>
      </w:r>
      <w:r>
        <w:rPr>
          <w:rStyle w:val="21"/>
          <w:rFonts w:hint="eastAsia" w:ascii="黑体" w:hAnsi="黑体" w:eastAsia="黑体"/>
          <w:b w:val="0"/>
          <w:color w:val="auto"/>
          <w:highlight w:val="none"/>
        </w:rPr>
        <w:t>政府性基金预算支出决算情况说明</w:t>
      </w:r>
      <w:bookmarkEnd w:id="24"/>
      <w:bookmarkEnd w:id="25"/>
      <w:bookmarkEnd w:id="26"/>
      <w:bookmarkEnd w:id="27"/>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年政府性基金预算财政拨款支出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numPr>
          <w:ilvl w:val="0"/>
          <w:numId w:val="4"/>
        </w:numPr>
        <w:spacing w:line="600" w:lineRule="exact"/>
        <w:ind w:firstLine="640"/>
        <w:outlineLvl w:val="1"/>
        <w:rPr>
          <w:rStyle w:val="21"/>
          <w:rFonts w:ascii="黑体" w:hAnsi="黑体" w:eastAsia="黑体"/>
          <w:b w:val="0"/>
          <w:color w:val="auto"/>
          <w:highlight w:val="none"/>
        </w:rPr>
      </w:pPr>
      <w:bookmarkStart w:id="28" w:name="_Toc30108052"/>
      <w:bookmarkStart w:id="29" w:name="_Toc15377219"/>
      <w:bookmarkStart w:id="30" w:name="_Toc1658763304"/>
      <w:bookmarkStart w:id="31" w:name="_Toc15396611"/>
      <w:r>
        <w:rPr>
          <w:rStyle w:val="21"/>
          <w:rFonts w:hint="eastAsia" w:ascii="黑体" w:hAnsi="黑体" w:eastAsia="黑体"/>
          <w:b w:val="0"/>
          <w:color w:val="auto"/>
          <w:highlight w:val="none"/>
        </w:rPr>
        <w:t>国有资本经营预算支出决算情况说明</w:t>
      </w:r>
      <w:bookmarkEnd w:id="28"/>
      <w:bookmarkEnd w:id="29"/>
      <w:bookmarkEnd w:id="30"/>
      <w:bookmarkEnd w:id="3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年国有资本经营预算财政拨款支出</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万元。</w:t>
      </w:r>
    </w:p>
    <w:p>
      <w:pPr>
        <w:numPr>
          <w:ilvl w:val="0"/>
          <w:numId w:val="4"/>
        </w:numPr>
        <w:spacing w:line="600" w:lineRule="exact"/>
        <w:ind w:firstLine="640"/>
        <w:outlineLvl w:val="1"/>
        <w:rPr>
          <w:rStyle w:val="21"/>
          <w:rFonts w:hint="eastAsia" w:ascii="黑体" w:hAnsi="黑体" w:eastAsia="黑体"/>
          <w:b w:val="0"/>
          <w:color w:val="auto"/>
          <w:highlight w:val="none"/>
        </w:rPr>
      </w:pPr>
      <w:bookmarkStart w:id="32" w:name="_Toc15377221"/>
      <w:bookmarkStart w:id="33" w:name="_Toc15396612"/>
      <w:bookmarkStart w:id="34" w:name="_Toc1400027206"/>
      <w:bookmarkStart w:id="35" w:name="_Toc380141198"/>
      <w:r>
        <w:rPr>
          <w:rStyle w:val="21"/>
          <w:rFonts w:hint="eastAsia" w:ascii="黑体" w:hAnsi="黑体" w:eastAsia="黑体"/>
          <w:b w:val="0"/>
          <w:color w:val="auto"/>
          <w:highlight w:val="none"/>
        </w:rPr>
        <w:t>其他重要事项的情况说明</w:t>
      </w:r>
      <w:bookmarkEnd w:id="32"/>
      <w:bookmarkEnd w:id="33"/>
      <w:bookmarkEnd w:id="34"/>
      <w:bookmarkEnd w:id="35"/>
    </w:p>
    <w:p>
      <w:pPr>
        <w:spacing w:line="600" w:lineRule="exact"/>
        <w:ind w:firstLine="642" w:firstLineChars="200"/>
        <w:outlineLvl w:val="2"/>
        <w:rPr>
          <w:rFonts w:ascii="仿宋" w:hAnsi="仿宋" w:eastAsia="仿宋"/>
          <w:color w:val="auto"/>
          <w:sz w:val="32"/>
          <w:szCs w:val="32"/>
          <w:highlight w:val="none"/>
        </w:rPr>
      </w:pPr>
      <w:bookmarkStart w:id="36" w:name="_Toc2033545241"/>
      <w:bookmarkStart w:id="37" w:name="_Toc15377222"/>
      <w:r>
        <w:rPr>
          <w:rFonts w:hint="eastAsia" w:ascii="仿宋" w:hAnsi="仿宋" w:eastAsia="仿宋"/>
          <w:b/>
          <w:color w:val="auto"/>
          <w:sz w:val="32"/>
          <w:szCs w:val="32"/>
          <w:highlight w:val="none"/>
        </w:rPr>
        <w:t>（一）机关运行经费支出情况</w:t>
      </w:r>
      <w:bookmarkEnd w:id="36"/>
      <w:bookmarkEnd w:id="37"/>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广元市金融工作局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58.31</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3.72</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6.81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人员增加，工会经费、福利费和交通补助等支出增加。</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38" w:name="_Toc15377223"/>
      <w:bookmarkStart w:id="39" w:name="_Toc1176790908"/>
      <w:r>
        <w:rPr>
          <w:rFonts w:hint="eastAsia" w:ascii="仿宋" w:hAnsi="仿宋" w:eastAsia="仿宋"/>
          <w:b/>
          <w:color w:val="auto"/>
          <w:sz w:val="32"/>
          <w:szCs w:val="32"/>
          <w:highlight w:val="none"/>
        </w:rPr>
        <w:t>（二）政府采购支出情况</w:t>
      </w:r>
      <w:bookmarkEnd w:id="38"/>
      <w:bookmarkEnd w:id="39"/>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年，市金融工作局政府采购支出总额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万元，其中：政府采购货物支出</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万元。主要用于购买办公区办公设备和家具。授予中小企业合同金额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万元，占政府采购支出总额的</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%，其中：授予小微企业合同金额</w:t>
      </w:r>
      <w:r>
        <w:rPr>
          <w:rFonts w:hint="eastAsia" w:ascii="仿宋_GB2312" w:hAnsi="Times New Roman" w:eastAsia="仿宋_GB2312" w:cs="Times New Roman"/>
          <w:color w:val="auto"/>
          <w:sz w:val="32"/>
          <w:szCs w:val="32"/>
          <w:highlight w:val="none"/>
          <w:lang w:val="en-US" w:eastAsia="zh-CN"/>
        </w:rPr>
        <w:t>5.74</w:t>
      </w:r>
      <w:r>
        <w:rPr>
          <w:rFonts w:hint="eastAsia" w:ascii="仿宋_GB2312" w:hAnsi="Times New Roman" w:eastAsia="仿宋_GB2312" w:cs="Times New Roman"/>
          <w:color w:val="auto"/>
          <w:sz w:val="32"/>
          <w:szCs w:val="32"/>
          <w:highlight w:val="none"/>
          <w:lang w:eastAsia="zh-CN"/>
        </w:rPr>
        <w:t>万元，占政府采购支出总额的</w:t>
      </w:r>
      <w:r>
        <w:rPr>
          <w:rFonts w:hint="eastAsia" w:ascii="仿宋_GB2312" w:hAnsi="Times New Roman" w:eastAsia="仿宋_GB2312" w:cs="Times New Roman"/>
          <w:color w:val="auto"/>
          <w:sz w:val="32"/>
          <w:szCs w:val="32"/>
          <w:highlight w:val="none"/>
          <w:lang w:val="en-US" w:eastAsia="zh-CN"/>
        </w:rPr>
        <w:t>100</w:t>
      </w:r>
      <w:r>
        <w:rPr>
          <w:rFonts w:hint="eastAsia" w:ascii="仿宋_GB2312" w:hAnsi="Times New Roman" w:eastAsia="仿宋_GB2312" w:cs="Times New Roman"/>
          <w:color w:val="auto"/>
          <w:sz w:val="32"/>
          <w:szCs w:val="32"/>
          <w:highlight w:val="none"/>
          <w:lang w:eastAsia="zh-CN"/>
        </w:rPr>
        <w:t>%。</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40" w:name="_Toc15377224"/>
      <w:bookmarkStart w:id="41" w:name="_Toc319603776"/>
      <w:r>
        <w:rPr>
          <w:rFonts w:hint="eastAsia" w:ascii="仿宋" w:hAnsi="仿宋" w:eastAsia="仿宋"/>
          <w:b/>
          <w:color w:val="auto"/>
          <w:sz w:val="32"/>
          <w:szCs w:val="32"/>
          <w:highlight w:val="none"/>
        </w:rPr>
        <w:t>（三）国有资产占有使用情况</w:t>
      </w:r>
      <w:bookmarkEnd w:id="40"/>
      <w:bookmarkEnd w:id="41"/>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t>截至20</w:t>
      </w:r>
      <w:r>
        <w:rPr>
          <w:rFonts w:hint="eastAsia" w:ascii="仿宋_GB2312" w:hAnsi="Times New Roman" w:eastAsia="仿宋_GB2312" w:cs="Times New Roman"/>
          <w:color w:val="auto"/>
          <w:sz w:val="32"/>
          <w:szCs w:val="32"/>
          <w:highlight w:val="none"/>
          <w:lang w:val="en-US" w:eastAsia="zh-CN"/>
        </w:rPr>
        <w:t>23</w:t>
      </w:r>
      <w:r>
        <w:rPr>
          <w:rFonts w:hint="eastAsia" w:ascii="仿宋_GB2312" w:hAnsi="Times New Roman" w:eastAsia="仿宋_GB2312" w:cs="Times New Roman"/>
          <w:color w:val="auto"/>
          <w:sz w:val="32"/>
          <w:szCs w:val="32"/>
          <w:highlight w:val="none"/>
          <w:lang w:eastAsia="zh-CN"/>
        </w:rPr>
        <w:t>年12月31日，市金融工作局共有车辆</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辆</w:t>
      </w:r>
      <w:r>
        <w:rPr>
          <w:rFonts w:hint="eastAsia" w:ascii="仿宋_GB2312" w:eastAsia="仿宋_GB2312" w:cs="Times New Roman"/>
          <w:color w:val="auto"/>
          <w:sz w:val="32"/>
          <w:szCs w:val="32"/>
          <w:highlight w:val="none"/>
          <w:lang w:eastAsia="zh-CN"/>
        </w:rPr>
        <w:t>，</w:t>
      </w:r>
      <w:r>
        <w:rPr>
          <w:rFonts w:hint="eastAsia" w:ascii="仿宋_GB2312" w:hAnsi="Times New Roman" w:eastAsia="仿宋_GB2312" w:cs="Times New Roman"/>
          <w:color w:val="auto"/>
          <w:sz w:val="32"/>
          <w:szCs w:val="32"/>
          <w:highlight w:val="none"/>
          <w:lang w:eastAsia="zh-CN"/>
        </w:rPr>
        <w:t>单价100万元以上专用设备（不含车辆）</w:t>
      </w:r>
      <w:r>
        <w:rPr>
          <w:rFonts w:hint="eastAsia" w:ascii="仿宋_GB2312" w:hAnsi="Times New Roman" w:eastAsia="仿宋_GB2312" w:cs="Times New Roman"/>
          <w:color w:val="auto"/>
          <w:sz w:val="32"/>
          <w:szCs w:val="32"/>
          <w:highlight w:val="none"/>
          <w:lang w:val="en-US" w:eastAsia="zh-CN"/>
        </w:rPr>
        <w:t>0</w:t>
      </w:r>
      <w:r>
        <w:rPr>
          <w:rFonts w:hint="eastAsia" w:ascii="仿宋_GB2312" w:hAnsi="Times New Roman" w:eastAsia="仿宋_GB2312" w:cs="Times New Roman"/>
          <w:color w:val="auto"/>
          <w:sz w:val="32"/>
          <w:szCs w:val="32"/>
          <w:highlight w:val="none"/>
          <w:lang w:eastAsia="zh-CN"/>
        </w:rPr>
        <w:t>台（套）。</w:t>
      </w:r>
    </w:p>
    <w:p>
      <w:pPr>
        <w:numPr>
          <w:ilvl w:val="0"/>
          <w:numId w:val="2"/>
        </w:numPr>
        <w:autoSpaceDE w:val="0"/>
        <w:autoSpaceDN w:val="0"/>
        <w:adjustRightInd w:val="0"/>
        <w:spacing w:line="600" w:lineRule="exact"/>
        <w:ind w:left="0" w:leftChars="0" w:firstLine="642" w:firstLineChars="200"/>
        <w:jc w:val="left"/>
        <w:outlineLvl w:val="2"/>
        <w:rPr>
          <w:rFonts w:hint="eastAsia" w:ascii="仿宋" w:hAnsi="仿宋" w:eastAsia="仿宋"/>
          <w:b/>
          <w:color w:val="auto"/>
          <w:sz w:val="32"/>
          <w:szCs w:val="32"/>
          <w:highlight w:val="none"/>
        </w:rPr>
      </w:pPr>
      <w:bookmarkStart w:id="42" w:name="_Toc1530808923"/>
      <w:r>
        <w:rPr>
          <w:rFonts w:hint="eastAsia" w:ascii="仿宋" w:hAnsi="仿宋" w:eastAsia="仿宋"/>
          <w:b/>
          <w:color w:val="auto"/>
          <w:sz w:val="32"/>
          <w:szCs w:val="32"/>
          <w:highlight w:val="none"/>
        </w:rPr>
        <w:t>预算绩效管理情况</w:t>
      </w:r>
      <w:bookmarkEnd w:id="42"/>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eastAsia="zh-CN"/>
        </w:rPr>
        <w:t>根据预算绩效管理要求，本单位在</w:t>
      </w:r>
      <w:r>
        <w:rPr>
          <w:rFonts w:hint="eastAsia" w:ascii="仿宋_GB2312" w:hAnsi="Times New Roman" w:eastAsia="仿宋_GB2312" w:cs="Times New Roman"/>
          <w:color w:val="auto"/>
          <w:sz w:val="32"/>
          <w:szCs w:val="32"/>
          <w:highlight w:val="none"/>
          <w:lang w:val="en-US" w:eastAsia="zh-CN"/>
        </w:rPr>
        <w:t>2023年度</w:t>
      </w:r>
      <w:r>
        <w:rPr>
          <w:rFonts w:hint="eastAsia" w:ascii="仿宋_GB2312" w:hAnsi="Times New Roman" w:eastAsia="仿宋_GB2312" w:cs="Times New Roman"/>
          <w:color w:val="auto"/>
          <w:sz w:val="32"/>
          <w:szCs w:val="32"/>
          <w:highlight w:val="none"/>
          <w:lang w:eastAsia="zh-CN"/>
        </w:rPr>
        <w:t>预算编制阶段，组织对</w:t>
      </w:r>
      <w:r>
        <w:rPr>
          <w:rFonts w:hint="eastAsia" w:ascii="仿宋_GB2312" w:hAnsi="Times New Roman" w:eastAsia="仿宋_GB2312" w:cs="Times New Roman"/>
          <w:color w:val="auto"/>
          <w:sz w:val="32"/>
          <w:szCs w:val="32"/>
          <w:highlight w:val="none"/>
          <w:lang w:val="en-US" w:eastAsia="zh-CN"/>
        </w:rPr>
        <w:t>处置非法集资工作、项目融资工作、两新组织党建工作、办公用房维修改造与办公家具购置、资本市场支持广元经济高质量发展融资对接会、乡村振兴工作、全市融资担保公司审计服务采购</w:t>
      </w:r>
      <w:r>
        <w:rPr>
          <w:rFonts w:hint="eastAsia" w:ascii="仿宋_GB2312" w:hAnsi="Times New Roman" w:eastAsia="仿宋_GB2312" w:cs="Times New Roman"/>
          <w:color w:val="auto"/>
          <w:sz w:val="32"/>
          <w:szCs w:val="32"/>
          <w:highlight w:val="none"/>
          <w:lang w:eastAsia="zh-CN"/>
        </w:rPr>
        <w:t>等</w:t>
      </w:r>
      <w:r>
        <w:rPr>
          <w:rFonts w:hint="eastAsia" w:ascii="仿宋_GB2312" w:hAnsi="Times New Roman" w:eastAsia="仿宋_GB2312" w:cs="Times New Roman"/>
          <w:color w:val="auto"/>
          <w:sz w:val="32"/>
          <w:szCs w:val="32"/>
          <w:highlight w:val="none"/>
          <w:lang w:val="en-US" w:eastAsia="zh-CN"/>
        </w:rPr>
        <w:t>7个项目</w:t>
      </w:r>
      <w:r>
        <w:rPr>
          <w:rFonts w:hint="eastAsia" w:ascii="仿宋_GB2312" w:hAnsi="Times New Roman" w:eastAsia="仿宋_GB2312" w:cs="Times New Roman"/>
          <w:color w:val="auto"/>
          <w:sz w:val="32"/>
          <w:szCs w:val="32"/>
          <w:highlight w:val="none"/>
          <w:lang w:eastAsia="zh-CN"/>
        </w:rPr>
        <w:t>开展了预算事前绩效评估，对工资性支出、离退休费支出、日常公用经费、其他公用经费、退休“中人”一次性退休补贴、单位年度考核奖、年度考核奖、机关事业单位退休人员（中人）一次性待遇资金、</w:t>
      </w:r>
      <w:r>
        <w:rPr>
          <w:rFonts w:hint="eastAsia" w:ascii="仿宋_GB2312" w:hAnsi="Times New Roman" w:eastAsia="仿宋_GB2312" w:cs="Times New Roman"/>
          <w:color w:val="auto"/>
          <w:sz w:val="32"/>
          <w:szCs w:val="32"/>
          <w:highlight w:val="none"/>
          <w:lang w:val="en-US" w:eastAsia="zh-CN"/>
        </w:rPr>
        <w:t>处置非法集资工作、项目融资工作、两新组织党建工作、办公用房维修改造与办公家具购置、资本市场支持广元经济高质量发展融资对接会、乡村振兴工作、全市融资担保公司审计服务采购等15</w:t>
      </w:r>
      <w:r>
        <w:rPr>
          <w:rFonts w:hint="eastAsia" w:ascii="仿宋_GB2312" w:hAnsi="Times New Roman" w:eastAsia="仿宋_GB2312" w:cs="Times New Roman"/>
          <w:color w:val="auto"/>
          <w:sz w:val="32"/>
          <w:szCs w:val="32"/>
          <w:highlight w:val="none"/>
          <w:lang w:eastAsia="zh-CN"/>
        </w:rPr>
        <w:t>个项目编制了绩效目标，预算执行过程中，选取</w:t>
      </w:r>
      <w:r>
        <w:rPr>
          <w:rFonts w:hint="eastAsia" w:ascii="仿宋_GB2312" w:hAnsi="Times New Roman" w:eastAsia="仿宋_GB2312" w:cs="Times New Roman"/>
          <w:color w:val="auto"/>
          <w:sz w:val="32"/>
          <w:szCs w:val="32"/>
          <w:highlight w:val="none"/>
          <w:lang w:val="en-US" w:eastAsia="zh-CN"/>
        </w:rPr>
        <w:t>15</w:t>
      </w:r>
      <w:r>
        <w:rPr>
          <w:rFonts w:hint="eastAsia" w:ascii="仿宋_GB2312" w:hAnsi="Times New Roman" w:eastAsia="仿宋_GB2312" w:cs="Times New Roman"/>
          <w:color w:val="auto"/>
          <w:sz w:val="32"/>
          <w:szCs w:val="32"/>
          <w:highlight w:val="none"/>
          <w:lang w:eastAsia="zh-CN"/>
        </w:rPr>
        <w:t>个项目开展绩效监控</w:t>
      </w:r>
      <w:r>
        <w:rPr>
          <w:rFonts w:hint="eastAsia" w:ascii="仿宋_GB2312" w:hAnsi="Times New Roman" w:eastAsia="仿宋_GB2312" w:cs="Times New Roman"/>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76" w:lineRule="exact"/>
        <w:ind w:firstLine="640" w:firstLineChars="200"/>
        <w:jc w:val="left"/>
        <w:textAlignment w:val="auto"/>
        <w:outlineLvl w:val="2"/>
        <w:rPr>
          <w:rFonts w:hint="eastAsia"/>
          <w:lang w:val="en-US" w:eastAsia="zh-CN"/>
        </w:rPr>
      </w:pPr>
      <w:r>
        <w:rPr>
          <w:rFonts w:hint="eastAsia" w:ascii="仿宋_GB2312" w:hAnsi="仿宋_GB2312" w:eastAsia="仿宋_GB2312" w:cs="仿宋_GB2312"/>
          <w:color w:val="auto"/>
          <w:sz w:val="32"/>
          <w:szCs w:val="32"/>
          <w:highlight w:val="none"/>
        </w:rPr>
        <w:t>组织对202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年度一般公共预算资金全面开展绩效自评，形成</w:t>
      </w:r>
      <w:r>
        <w:rPr>
          <w:rFonts w:hint="eastAsia" w:ascii="仿宋_GB2312" w:hAnsi="仿宋_GB2312" w:eastAsia="仿宋_GB2312" w:cs="仿宋_GB2312"/>
          <w:color w:val="auto"/>
          <w:sz w:val="32"/>
          <w:szCs w:val="32"/>
          <w:highlight w:val="none"/>
          <w:lang w:eastAsia="zh-CN"/>
        </w:rPr>
        <w:t>广元市金融工作局</w:t>
      </w:r>
      <w:r>
        <w:rPr>
          <w:rFonts w:hint="eastAsia" w:ascii="仿宋_GB2312" w:hAnsi="仿宋_GB2312" w:eastAsia="仿宋_GB2312" w:cs="仿宋_GB2312"/>
          <w:color w:val="auto"/>
          <w:sz w:val="32"/>
          <w:szCs w:val="32"/>
          <w:highlight w:val="none"/>
        </w:rPr>
        <w:t>部门整体（含部门预算项目）绩效自评报告，其中，</w:t>
      </w:r>
      <w:r>
        <w:rPr>
          <w:rFonts w:hint="eastAsia" w:ascii="仿宋_GB2312" w:hAnsi="仿宋_GB2312" w:eastAsia="仿宋_GB2312" w:cs="仿宋_GB2312"/>
          <w:color w:val="auto"/>
          <w:sz w:val="32"/>
          <w:szCs w:val="32"/>
          <w:highlight w:val="none"/>
          <w:lang w:eastAsia="zh-CN"/>
        </w:rPr>
        <w:t>广元市金融工作局</w:t>
      </w:r>
      <w:r>
        <w:rPr>
          <w:rFonts w:hint="eastAsia" w:ascii="仿宋_GB2312" w:hAnsi="仿宋_GB2312" w:eastAsia="仿宋_GB2312" w:cs="仿宋_GB2312"/>
          <w:color w:val="auto"/>
          <w:sz w:val="32"/>
          <w:szCs w:val="32"/>
          <w:highlight w:val="none"/>
        </w:rPr>
        <w:t>部门整体（含部门预算项目）绩效自评得分为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分</w:t>
      </w:r>
      <w:r>
        <w:rPr>
          <w:rFonts w:hint="eastAsia" w:ascii="仿宋_GB2312" w:hAnsi="仿宋_GB2312" w:eastAsia="仿宋_GB2312" w:cs="仿宋_GB2312"/>
          <w:color w:val="auto"/>
          <w:sz w:val="32"/>
          <w:szCs w:val="32"/>
          <w:highlight w:val="none"/>
          <w:lang w:eastAsia="zh-CN"/>
        </w:rPr>
        <w:t>；广元市金融工作局</w:t>
      </w:r>
      <w:r>
        <w:rPr>
          <w:rFonts w:hint="eastAsia" w:ascii="仿宋_GB2312" w:hAnsi="仿宋_GB2312" w:eastAsia="仿宋_GB2312" w:cs="仿宋_GB2312"/>
          <w:color w:val="auto"/>
          <w:sz w:val="32"/>
          <w:szCs w:val="32"/>
          <w:highlight w:val="none"/>
        </w:rPr>
        <w:t>专项预算项目绩效自评得分为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分。绩效自评报告详见</w:t>
      </w:r>
      <w:r>
        <w:rPr>
          <w:rFonts w:hint="eastAsia" w:ascii="仿宋_GB2312" w:hAnsi="仿宋_GB2312" w:eastAsia="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w:t>
      </w: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pStyle w:val="6"/>
        <w:rPr>
          <w:rFonts w:hint="eastAsia" w:ascii="仿宋_GB2312" w:hAnsi="Times New Roman" w:eastAsia="仿宋_GB2312" w:cs="Times New Roman"/>
          <w:color w:val="auto"/>
          <w:sz w:val="32"/>
          <w:szCs w:val="32"/>
          <w:highlight w:val="none"/>
          <w:lang w:val="en-US" w:eastAsia="zh-CN"/>
        </w:rPr>
      </w:pPr>
    </w:p>
    <w:p>
      <w:pPr>
        <w:numPr>
          <w:ilvl w:val="0"/>
          <w:numId w:val="0"/>
        </w:numPr>
        <w:spacing w:line="600" w:lineRule="exact"/>
        <w:jc w:val="center"/>
        <w:outlineLvl w:val="0"/>
        <w:rPr>
          <w:rStyle w:val="20"/>
          <w:rFonts w:ascii="黑体" w:hAnsi="黑体" w:eastAsia="黑体"/>
          <w:b w:val="0"/>
          <w:color w:val="auto"/>
          <w:highlight w:val="none"/>
        </w:rPr>
      </w:pPr>
      <w:bookmarkStart w:id="43" w:name="_Toc807538311"/>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20"/>
          <w:rFonts w:hint="eastAsia" w:ascii="黑体" w:hAnsi="黑体" w:eastAsia="黑体"/>
          <w:b w:val="0"/>
          <w:color w:val="auto"/>
          <w:highlight w:val="none"/>
        </w:rPr>
        <w:t>词解释</w:t>
      </w:r>
      <w:bookmarkEnd w:id="43"/>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outlineLvl w:val="1"/>
        <w:rPr>
          <w:rFonts w:ascii="仿宋_GB2312" w:hAnsi="仿宋_GB2312" w:eastAsia="仿宋_GB2312" w:cs="仿宋_GB2312"/>
          <w:sz w:val="32"/>
          <w:szCs w:val="32"/>
        </w:rPr>
      </w:pPr>
      <w:bookmarkStart w:id="44" w:name="_Toc1592008632"/>
      <w:bookmarkStart w:id="45" w:name="_Toc1383"/>
      <w:bookmarkStart w:id="46" w:name="_Toc2105856778"/>
      <w:bookmarkStart w:id="47" w:name="_Toc1338747221"/>
      <w:bookmarkStart w:id="48" w:name="_Toc46753897"/>
      <w:r>
        <w:rPr>
          <w:rFonts w:hint="eastAsia" w:ascii="仿宋_GB2312" w:hAnsi="仿宋_GB2312" w:eastAsia="仿宋_GB2312" w:cs="仿宋_GB2312"/>
          <w:sz w:val="32"/>
          <w:szCs w:val="32"/>
        </w:rPr>
        <w:t>财政拨款收入：指单位从同级财政部门取得的财政预算资金。</w:t>
      </w:r>
      <w:bookmarkEnd w:id="44"/>
      <w:bookmarkEnd w:id="45"/>
      <w:bookmarkEnd w:id="46"/>
      <w:bookmarkEnd w:id="47"/>
      <w:bookmarkEnd w:id="48"/>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其他收入：指单位取得的除上述收入以外的各项收入。主要是银行存款利息收入</w:t>
      </w:r>
      <w:r>
        <w:rPr>
          <w:rFonts w:hint="eastAsia" w:ascii="仿宋_GB2312" w:hAnsi="仿宋_GB2312" w:eastAsia="仿宋_GB2312" w:cs="仿宋_GB2312"/>
          <w:sz w:val="32"/>
          <w:szCs w:val="32"/>
          <w:lang w:eastAsia="zh-CN"/>
        </w:rPr>
        <w:t>、县区划转处置非法集资工作经费</w:t>
      </w:r>
      <w:r>
        <w:rPr>
          <w:rFonts w:hint="eastAsia" w:ascii="仿宋_GB2312" w:hAnsi="仿宋_GB2312" w:eastAsia="仿宋_GB2312" w:cs="仿宋_GB2312"/>
          <w:sz w:val="32"/>
          <w:szCs w:val="32"/>
        </w:rPr>
        <w:t xml:space="preserve">等。 </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年初结转和结余：指以前年度尚未完成、结转到本年按有关规定继续使用的资金。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年末结转和结余：指上年度尚未完成，结转到本年仍按原规定用途继续使用的资金。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一般公共服务（类）政府办公厅（室）及相关机构事务（款）行政运行（项）：</w:t>
      </w:r>
      <w:r>
        <w:rPr>
          <w:rFonts w:hint="eastAsia" w:ascii="仿宋_GB2312" w:hAnsi="仿宋_GB2312" w:eastAsia="仿宋_GB2312" w:cs="仿宋_GB2312"/>
          <w:sz w:val="32"/>
          <w:szCs w:val="32"/>
          <w:lang w:val="en-US" w:eastAsia="zh-CN"/>
        </w:rPr>
        <w:t>指行政单位用于保障机构正常运行、开展日常工作的基本支出。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一般公共服务（类）政府办公厅（室）及相关机构事务（款）一般行政管理事务（项）：指单位开展专项工作所发生的费用。</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社会保障和就业（类）行政事业单位养老支出（款）行政单位离退休（项）：</w:t>
      </w:r>
      <w:r>
        <w:rPr>
          <w:rStyle w:val="18"/>
          <w:rFonts w:hint="eastAsia" w:ascii="仿宋_GB2312" w:hAnsi="仿宋_GB2312" w:eastAsia="仿宋_GB2312" w:cs="仿宋_GB2312"/>
          <w:b w:val="0"/>
          <w:sz w:val="32"/>
          <w:szCs w:val="32"/>
          <w:lang w:val="en-US" w:eastAsia="zh-CN"/>
        </w:rPr>
        <w:t>指行政单位开支的离退休经费。</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lang w:val="en-US" w:eastAsia="zh-CN"/>
        </w:rPr>
      </w:pPr>
      <w:r>
        <w:rPr>
          <w:rStyle w:val="18"/>
          <w:rFonts w:hint="eastAsia" w:ascii="仿宋_GB2312" w:hAnsi="仿宋_GB2312" w:eastAsia="仿宋_GB2312" w:cs="仿宋_GB2312"/>
          <w:b w:val="0"/>
          <w:sz w:val="32"/>
          <w:szCs w:val="32"/>
        </w:rPr>
        <w:t>社会保障和就业（类）行政事业单位养老支出（款）机关事业单位基本养老保险缴费</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（项）：指机关事业单位</w:t>
      </w:r>
      <w:r>
        <w:rPr>
          <w:rStyle w:val="18"/>
          <w:rFonts w:hint="eastAsia" w:ascii="仿宋_GB2312" w:hAnsi="仿宋_GB2312" w:eastAsia="仿宋_GB2312" w:cs="仿宋_GB2312"/>
          <w:b w:val="0"/>
          <w:color w:val="000000"/>
          <w:sz w:val="32"/>
          <w:szCs w:val="32"/>
        </w:rPr>
        <w:t>实施养老保险制度由单位缴纳的基本养老保险费支出。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社会保障和就业（类）行政事业单位养老支出（款）机关事业单位职业年金缴费</w:t>
      </w:r>
      <w:r>
        <w:rPr>
          <w:rStyle w:val="18"/>
          <w:rFonts w:hint="eastAsia" w:ascii="仿宋_GB2312" w:hAnsi="仿宋_GB2312" w:eastAsia="仿宋_GB2312" w:cs="仿宋_GB2312"/>
          <w:b w:val="0"/>
          <w:sz w:val="32"/>
          <w:szCs w:val="32"/>
          <w:lang w:val="en-US" w:eastAsia="zh-CN"/>
        </w:rPr>
        <w:t>支出</w:t>
      </w:r>
      <w:r>
        <w:rPr>
          <w:rStyle w:val="18"/>
          <w:rFonts w:hint="eastAsia" w:ascii="仿宋_GB2312" w:hAnsi="仿宋_GB2312" w:eastAsia="仿宋_GB2312" w:cs="仿宋_GB2312"/>
          <w:b w:val="0"/>
          <w:sz w:val="32"/>
          <w:szCs w:val="32"/>
        </w:rPr>
        <w:t>（项）：指机关事业单位实施养老保险制度由单位实际缴纳的职业年金支出。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lang w:val="en-US" w:eastAsia="zh-CN"/>
        </w:rPr>
      </w:pPr>
      <w:r>
        <w:rPr>
          <w:rStyle w:val="18"/>
          <w:rFonts w:hint="eastAsia" w:ascii="仿宋_GB2312" w:hAnsi="仿宋_GB2312" w:eastAsia="仿宋_GB2312" w:cs="仿宋_GB2312"/>
          <w:b w:val="0"/>
          <w:sz w:val="32"/>
          <w:szCs w:val="32"/>
          <w:lang w:val="en-US" w:eastAsia="zh-CN"/>
        </w:rPr>
        <w:t>社会保障和就业（类）其他社会保障和就业支出（款）其他社会保障和就业支出（项）</w:t>
      </w:r>
      <w:r>
        <w:rPr>
          <w:rStyle w:val="18"/>
          <w:rFonts w:hint="eastAsia" w:ascii="仿宋_GB2312" w:hAnsi="仿宋_GB2312" w:eastAsia="仿宋_GB2312" w:cs="仿宋_GB2312"/>
          <w:b w:val="0"/>
          <w:sz w:val="32"/>
          <w:szCs w:val="32"/>
        </w:rPr>
        <w:t>：指机关事业单位实施养老保险制度由单位实际缴纳的</w:t>
      </w:r>
      <w:r>
        <w:rPr>
          <w:rStyle w:val="18"/>
          <w:rFonts w:hint="eastAsia" w:ascii="仿宋_GB2312" w:hAnsi="仿宋_GB2312" w:eastAsia="仿宋_GB2312" w:cs="仿宋_GB2312"/>
          <w:b w:val="0"/>
          <w:sz w:val="32"/>
          <w:szCs w:val="32"/>
          <w:lang w:eastAsia="zh-CN"/>
        </w:rPr>
        <w:t>工伤保险、失业保险等</w:t>
      </w:r>
      <w:r>
        <w:rPr>
          <w:rStyle w:val="18"/>
          <w:rFonts w:hint="eastAsia" w:ascii="仿宋_GB2312" w:hAnsi="仿宋_GB2312" w:eastAsia="仿宋_GB2312" w:cs="仿宋_GB2312"/>
          <w:b w:val="0"/>
          <w:sz w:val="32"/>
          <w:szCs w:val="32"/>
        </w:rPr>
        <w:t>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Style w:val="18"/>
          <w:rFonts w:hint="eastAsia" w:ascii="仿宋_GB2312" w:hAnsi="仿宋_GB2312" w:eastAsia="仿宋_GB2312" w:cs="仿宋_GB2312"/>
          <w:b w:val="0"/>
          <w:sz w:val="32"/>
          <w:szCs w:val="32"/>
        </w:rPr>
      </w:pPr>
      <w:r>
        <w:rPr>
          <w:rStyle w:val="18"/>
          <w:rFonts w:hint="eastAsia" w:ascii="仿宋_GB2312" w:hAnsi="仿宋_GB2312" w:eastAsia="仿宋_GB2312" w:cs="仿宋_GB2312"/>
          <w:b w:val="0"/>
          <w:sz w:val="32"/>
          <w:szCs w:val="32"/>
        </w:rPr>
        <w:t>卫生健康支出（类）行政事业单位医疗（款）行政单位医疗（项）：指局机关用于缴纳单位基本医疗保险支出。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eastAsia="仿宋_GB2312"/>
          <w:color w:val="000000"/>
          <w:sz w:val="32"/>
          <w:szCs w:val="32"/>
        </w:rPr>
      </w:pPr>
      <w:r>
        <w:rPr>
          <w:rStyle w:val="18"/>
          <w:rFonts w:hint="eastAsia" w:ascii="仿宋_GB2312" w:hAnsi="仿宋_GB2312" w:eastAsia="仿宋_GB2312" w:cs="仿宋_GB2312"/>
          <w:b w:val="0"/>
          <w:sz w:val="32"/>
          <w:szCs w:val="32"/>
        </w:rPr>
        <w:t>住房保障（类）住房改革</w:t>
      </w:r>
      <w:r>
        <w:rPr>
          <w:rFonts w:hint="eastAsia" w:ascii="仿宋_GB2312" w:hAnsi="仿宋_GB2312" w:eastAsia="仿宋_GB2312" w:cs="仿宋_GB2312"/>
          <w:sz w:val="32"/>
          <w:szCs w:val="32"/>
        </w:rPr>
        <w:t>（款）住房公积金（项）：指局机关及事业单位按行政事业单位按人力资源和社会保障部、财政部规定的基本工资和津贴补贴以及规定比例为职工缴纳的住房公积金。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rPr>
        <w:t>项目支出：指在基本支出之外为完成特定行政任务和</w:t>
      </w:r>
      <w:r>
        <w:rPr>
          <w:rFonts w:hint="eastAsia" w:ascii="仿宋_GB2312" w:eastAsia="仿宋_GB2312"/>
          <w:color w:val="000000"/>
          <w:sz w:val="32"/>
          <w:szCs w:val="32"/>
        </w:rPr>
        <w:t>事业发展目标所发生的支出。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5"/>
        </w:numPr>
        <w:kinsoku/>
        <w:wordWrap/>
        <w:overflowPunct/>
        <w:topLinePunct w:val="0"/>
        <w:autoSpaceDE/>
        <w:autoSpaceDN/>
        <w:bidi w:val="0"/>
        <w:adjustRightInd/>
        <w:snapToGrid/>
        <w:spacing w:line="520" w:lineRule="exact"/>
        <w:ind w:left="0" w:leftChars="0" w:right="0" w:firstLine="400" w:firstLineChars="0"/>
        <w:textAlignment w:val="auto"/>
        <w:rPr>
          <w:rFonts w:hint="eastAsia" w:ascii="仿宋_GB2312" w:eastAsia="仿宋_GB2312"/>
          <w:color w:val="000000"/>
          <w:sz w:val="32"/>
          <w:szCs w:val="32"/>
        </w:rPr>
      </w:pPr>
      <w:r>
        <w:rPr>
          <w:rFonts w:hint="eastAsia" w:ascii="仿宋_GB2312" w:eastAsia="仿宋_GB2312"/>
          <w:color w:val="000000"/>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Fonts w:hint="eastAsia" w:ascii="黑体" w:hAnsi="黑体" w:eastAsia="黑体"/>
          <w:color w:val="auto"/>
          <w:sz w:val="44"/>
          <w:szCs w:val="44"/>
          <w:highlight w:val="none"/>
        </w:rPr>
      </w:pPr>
    </w:p>
    <w:p>
      <w:pPr>
        <w:pStyle w:val="5"/>
        <w:rPr>
          <w:rFonts w:hint="eastAsia" w:ascii="黑体" w:hAnsi="黑体" w:eastAsia="黑体"/>
          <w:color w:val="auto"/>
          <w:sz w:val="44"/>
          <w:szCs w:val="44"/>
          <w:highlight w:val="none"/>
        </w:rPr>
      </w:pPr>
    </w:p>
    <w:p>
      <w:pPr>
        <w:rPr>
          <w:rFonts w:hint="eastAsia"/>
        </w:rPr>
      </w:pPr>
    </w:p>
    <w:p>
      <w:pPr>
        <w:numPr>
          <w:ilvl w:val="0"/>
          <w:numId w:val="6"/>
        </w:numPr>
        <w:spacing w:line="600" w:lineRule="exact"/>
        <w:jc w:val="center"/>
        <w:outlineLvl w:val="0"/>
        <w:rPr>
          <w:rStyle w:val="20"/>
          <w:rFonts w:hint="eastAsia" w:ascii="黑体" w:hAnsi="黑体" w:eastAsia="黑体"/>
          <w:b w:val="0"/>
          <w:color w:val="auto"/>
          <w:highlight w:val="none"/>
        </w:rPr>
      </w:pPr>
      <w:bookmarkStart w:id="49" w:name="_Toc1147824455"/>
      <w:r>
        <w:rPr>
          <w:rStyle w:val="20"/>
          <w:rFonts w:hint="eastAsia" w:ascii="黑体" w:hAnsi="黑体" w:eastAsia="黑体"/>
          <w:b w:val="0"/>
          <w:color w:val="auto"/>
          <w:highlight w:val="none"/>
        </w:rPr>
        <w:t>附件</w:t>
      </w:r>
      <w:bookmarkEnd w:id="49"/>
    </w:p>
    <w:p>
      <w:pPr>
        <w:pStyle w:val="5"/>
        <w:numPr>
          <w:ilvl w:val="0"/>
          <w:numId w:val="0"/>
        </w:numPr>
        <w:ind w:leftChars="200"/>
      </w:pPr>
    </w:p>
    <w:p>
      <w:pPr>
        <w:keepNext w:val="0"/>
        <w:keepLines w:val="0"/>
        <w:pageBreakBefore w:val="0"/>
        <w:widowControl/>
        <w:kinsoku/>
        <w:wordWrap/>
        <w:overflowPunct/>
        <w:topLinePunct w:val="0"/>
        <w:autoSpaceDE/>
        <w:autoSpaceDN/>
        <w:bidi w:val="0"/>
        <w:spacing w:line="576" w:lineRule="exact"/>
        <w:contextualSpacing/>
        <w:jc w:val="center"/>
        <w:textAlignment w:val="auto"/>
        <w:rPr>
          <w:rFonts w:hint="eastAsia" w:ascii="方正小标宋简体" w:hAnsi="方正小标宋简体" w:eastAsia="方正小标宋简体" w:cs="方正小标宋简体"/>
          <w:b w:val="0"/>
          <w:bCs w:val="0"/>
          <w:sz w:val="44"/>
          <w:szCs w:val="44"/>
          <w:highlight w:val="none"/>
          <w:shd w:val="clear" w:color="auto" w:fill="FFFFFF"/>
          <w:lang w:eastAsia="zh-CN"/>
        </w:rPr>
      </w:pPr>
      <w:r>
        <w:rPr>
          <w:rFonts w:hint="eastAsia" w:ascii="方正小标宋简体" w:hAnsi="方正小标宋简体" w:eastAsia="方正小标宋简体" w:cs="方正小标宋简体"/>
          <w:b w:val="0"/>
          <w:bCs w:val="0"/>
          <w:sz w:val="44"/>
          <w:szCs w:val="44"/>
          <w:highlight w:val="none"/>
          <w:shd w:val="clear" w:color="auto" w:fill="FFFFFF"/>
        </w:rPr>
        <w:t>20</w:t>
      </w:r>
      <w:r>
        <w:rPr>
          <w:rFonts w:hint="eastAsia" w:ascii="方正小标宋简体" w:hAnsi="方正小标宋简体" w:eastAsia="方正小标宋简体" w:cs="方正小标宋简体"/>
          <w:b w:val="0"/>
          <w:bCs w:val="0"/>
          <w:sz w:val="44"/>
          <w:szCs w:val="44"/>
          <w:highlight w:val="none"/>
          <w:shd w:val="clear" w:color="auto" w:fill="FFFFFF"/>
          <w:lang w:val="en-US" w:eastAsia="zh-CN"/>
        </w:rPr>
        <w:t>23</w:t>
      </w:r>
      <w:r>
        <w:rPr>
          <w:rFonts w:hint="eastAsia" w:ascii="方正小标宋简体" w:hAnsi="方正小标宋简体" w:eastAsia="方正小标宋简体" w:cs="方正小标宋简体"/>
          <w:b w:val="0"/>
          <w:bCs w:val="0"/>
          <w:sz w:val="44"/>
          <w:szCs w:val="44"/>
          <w:highlight w:val="none"/>
          <w:shd w:val="clear" w:color="auto" w:fill="FFFFFF"/>
        </w:rPr>
        <w:t>年</w:t>
      </w:r>
      <w:r>
        <w:rPr>
          <w:rFonts w:hint="eastAsia" w:ascii="方正小标宋简体" w:hAnsi="方正小标宋简体" w:eastAsia="方正小标宋简体" w:cs="方正小标宋简体"/>
          <w:b w:val="0"/>
          <w:bCs w:val="0"/>
          <w:sz w:val="44"/>
          <w:szCs w:val="44"/>
          <w:highlight w:val="none"/>
          <w:shd w:val="clear" w:color="auto" w:fill="FFFFFF"/>
          <w:lang w:eastAsia="zh-CN"/>
        </w:rPr>
        <w:t>广元市金融工作局</w:t>
      </w:r>
    </w:p>
    <w:p>
      <w:pPr>
        <w:keepNext w:val="0"/>
        <w:keepLines w:val="0"/>
        <w:pageBreakBefore w:val="0"/>
        <w:widowControl/>
        <w:kinsoku/>
        <w:wordWrap/>
        <w:overflowPunct/>
        <w:topLinePunct w:val="0"/>
        <w:autoSpaceDE/>
        <w:autoSpaceDN/>
        <w:bidi w:val="0"/>
        <w:spacing w:line="576" w:lineRule="exact"/>
        <w:contextualSpacing/>
        <w:jc w:val="center"/>
        <w:textAlignment w:val="auto"/>
        <w:rPr>
          <w:rFonts w:hint="eastAsia" w:ascii="方正小标宋简体" w:hAnsi="方正小标宋简体" w:eastAsia="方正小标宋简体" w:cs="方正小标宋简体"/>
          <w:b w:val="0"/>
          <w:bCs w:val="0"/>
          <w:sz w:val="44"/>
          <w:szCs w:val="44"/>
          <w:highlight w:val="none"/>
          <w:shd w:val="clear" w:color="auto" w:fill="FFFFFF"/>
        </w:rPr>
      </w:pPr>
      <w:r>
        <w:rPr>
          <w:rFonts w:hint="eastAsia" w:ascii="方正小标宋简体" w:hAnsi="方正小标宋简体" w:eastAsia="方正小标宋简体" w:cs="方正小标宋简体"/>
          <w:b w:val="0"/>
          <w:bCs w:val="0"/>
          <w:sz w:val="44"/>
          <w:szCs w:val="44"/>
          <w:highlight w:val="none"/>
          <w:shd w:val="clear" w:color="auto" w:fill="FFFFFF"/>
        </w:rPr>
        <w:t>部门整体</w:t>
      </w:r>
      <w:r>
        <w:rPr>
          <w:rFonts w:hint="eastAsia" w:ascii="方正小标宋简体" w:hAnsi="方正小标宋简体" w:eastAsia="方正小标宋简体" w:cs="方正小标宋简体"/>
          <w:b w:val="0"/>
          <w:bCs w:val="0"/>
          <w:sz w:val="44"/>
          <w:szCs w:val="44"/>
          <w:highlight w:val="none"/>
          <w:shd w:val="clear" w:color="auto" w:fill="FFFFFF"/>
          <w:lang w:eastAsia="zh-CN"/>
        </w:rPr>
        <w:t>支出</w:t>
      </w:r>
      <w:r>
        <w:rPr>
          <w:rFonts w:hint="eastAsia" w:ascii="方正小标宋简体" w:hAnsi="方正小标宋简体" w:eastAsia="方正小标宋简体" w:cs="方正小标宋简体"/>
          <w:b w:val="0"/>
          <w:bCs w:val="0"/>
          <w:sz w:val="44"/>
          <w:szCs w:val="44"/>
          <w:highlight w:val="none"/>
          <w:shd w:val="clear" w:color="auto" w:fill="FFFFFF"/>
        </w:rPr>
        <w:t>绩效</w:t>
      </w:r>
      <w:r>
        <w:rPr>
          <w:rFonts w:hint="eastAsia" w:ascii="方正小标宋简体" w:hAnsi="方正小标宋简体" w:eastAsia="方正小标宋简体" w:cs="方正小标宋简体"/>
          <w:b w:val="0"/>
          <w:bCs w:val="0"/>
          <w:sz w:val="44"/>
          <w:szCs w:val="44"/>
          <w:highlight w:val="none"/>
          <w:shd w:val="clear" w:color="auto" w:fill="FFFFFF"/>
          <w:lang w:eastAsia="zh-CN"/>
        </w:rPr>
        <w:t>自评</w:t>
      </w:r>
      <w:r>
        <w:rPr>
          <w:rFonts w:hint="eastAsia" w:ascii="方正小标宋简体" w:hAnsi="方正小标宋简体" w:eastAsia="方正小标宋简体" w:cs="方正小标宋简体"/>
          <w:b w:val="0"/>
          <w:bCs w:val="0"/>
          <w:sz w:val="44"/>
          <w:szCs w:val="44"/>
          <w:highlight w:val="none"/>
          <w:shd w:val="clear" w:color="auto" w:fill="FFFFFF"/>
        </w:rPr>
        <w:t>报告</w:t>
      </w:r>
    </w:p>
    <w:p>
      <w:pPr>
        <w:keepNext w:val="0"/>
        <w:keepLines w:val="0"/>
        <w:pageBreakBefore w:val="0"/>
        <w:widowControl/>
        <w:kinsoku/>
        <w:wordWrap/>
        <w:overflowPunct/>
        <w:topLinePunct w:val="0"/>
        <w:autoSpaceDE/>
        <w:autoSpaceDN/>
        <w:bidi w:val="0"/>
        <w:adjustRightInd w:val="0"/>
        <w:snapToGrid w:val="0"/>
        <w:spacing w:line="576" w:lineRule="exact"/>
        <w:ind w:firstLine="480" w:firstLineChars="200"/>
        <w:contextualSpacing/>
        <w:jc w:val="left"/>
        <w:textAlignment w:val="auto"/>
        <w:rPr>
          <w:rFonts w:ascii="黑体" w:hAnsi="宋体" w:eastAsia="黑体" w:cs="宋体"/>
          <w:b w:val="0"/>
          <w:bCs w:val="0"/>
          <w:color w:val="000000"/>
          <w:kern w:val="0"/>
          <w:sz w:val="24"/>
          <w:szCs w:val="32"/>
          <w:highlight w:val="none"/>
          <w:shd w:val="clear" w:color="auto" w:fill="FFFFFF"/>
        </w:rPr>
      </w:pPr>
    </w:p>
    <w:p>
      <w:pPr>
        <w:keepNext w:val="0"/>
        <w:keepLines w:val="0"/>
        <w:pageBreakBefore w:val="0"/>
        <w:widowControl w:val="0"/>
        <w:numPr>
          <w:ilvl w:val="0"/>
          <w:numId w:val="7"/>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黑体" w:hAnsi="宋体" w:eastAsia="黑体" w:cs="宋体"/>
          <w:b w:val="0"/>
          <w:bCs w:val="0"/>
          <w:color w:val="000000"/>
          <w:kern w:val="0"/>
          <w:sz w:val="32"/>
          <w:szCs w:val="32"/>
          <w:highlight w:val="none"/>
          <w:shd w:val="clear" w:color="auto" w:fill="FFFFFF"/>
          <w:lang w:val="zh-CN"/>
        </w:rPr>
      </w:pPr>
      <w:r>
        <w:rPr>
          <w:rFonts w:hint="eastAsia" w:ascii="黑体" w:hAnsi="宋体" w:eastAsia="黑体" w:cs="宋体"/>
          <w:b w:val="0"/>
          <w:bCs w:val="0"/>
          <w:color w:val="000000"/>
          <w:kern w:val="0"/>
          <w:sz w:val="32"/>
          <w:szCs w:val="32"/>
          <w:highlight w:val="none"/>
          <w:shd w:val="clear" w:color="auto" w:fill="FFFFFF"/>
          <w:lang w:val="zh-CN"/>
        </w:rPr>
        <w:t>部门（单位）基本情况</w:t>
      </w:r>
    </w:p>
    <w:p>
      <w:pPr>
        <w:keepNext w:val="0"/>
        <w:keepLines w:val="0"/>
        <w:pageBreakBefore w:val="0"/>
        <w:widowControl w:val="0"/>
        <w:numPr>
          <w:ilvl w:val="0"/>
          <w:numId w:val="8"/>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机构组成</w:t>
      </w:r>
    </w:p>
    <w:p>
      <w:pPr>
        <w:keepNext w:val="0"/>
        <w:keepLines w:val="0"/>
        <w:pageBreakBefore w:val="0"/>
        <w:widowControl/>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广元市金融工作局（简称市金融工作局）是广元市人民政府工作部门，为正县级。</w:t>
      </w:r>
    </w:p>
    <w:p>
      <w:pPr>
        <w:keepNext w:val="0"/>
        <w:keepLines w:val="0"/>
        <w:pageBreakBefore w:val="0"/>
        <w:widowControl w:val="0"/>
        <w:numPr>
          <w:ilvl w:val="0"/>
          <w:numId w:val="8"/>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机构职能和人员概况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1.会同有关部门研究拟订并组织实施全市金融业发展规划和政策措施。负责市金融工作领导小组日常工作。</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2.统筹、协调推进全市金融业服务实体经济、防控金融风险、深化金融改革。推动地方政府和金融机构合作。加强金融对外合作交流。</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3.会同有关部门推进地方金融业规范发展，组建、培育、壮大地方法人金融机构，引进市外、境外金融机构，促进金融机构合理布局和金融资源优化配置。负责监管范围内的地方法人金融机构的改革发展和业务指导工作。参与市委、市政府对金融机构的考核等工作。</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4.统筹推进全市企业直接融资工作。指导全市企业上市改制工作，负责上市培育和上市协调工作。指导上市公司规范运作、并购重组等工作。会同有关部门指导推动企业发行各种债券、开展资产证券化等工作（境外融资除外），推进多渠道直接融资。参与指导各类投资基金规范发展。</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5.统筹地方金融要素市场体系建设。会同有关部门指导、推动地方金融要素市场建设，组织推进多层次资本市场发展。</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6.配合中央金融管理部门驻广机构做好金融监管相关工作，共享地方金融监管指标数据和金融业务发展情况。为中央驻广金融管理部门、金融机构提供服务，协调解决地方金融业改革发展中的有关问题。</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7.推动金融机构为全市经济社会发展服务，协调市级政府性投资项目融资工作，参与全市投融资体制改革工作。推动地方金融统计体系建设。参与研究制定引导社会融资发展的政策措施和政府重大项目融资方案。协调推进重大金融项目招商工作。会同相关部门推进全市金融服务体系建设，推进普惠金融、科技金融、绿色金融、数字金融发展。</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8.负责全市小额贷款公司、融资担保公司、区域性股权市场、典当行、融资租赁公司、商业保理公司、地方资产管理公司等地方金融组织的监管。加强对开展信用互助的农民专业合作社、地方权益类交易场所、大宗商品类交易场所的风险监测与行为监管。</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9.负责地方金融机构和金融中介机构的行业管理和服务，促进金融中介服务业发展，参与拟订促进与金融业密切相关的中介服务机构发展的政策、规划并配合有关部门实施。加强对相关金融行业协会的工作指导和监督。</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10.维护地方金融秩序。牵头有关部门防范、化解和处置地方金融风险。牵头处置非法集资，协调配合有关部门打击其他非法金融活动，推进地方金融风险监测预警与应急处置机制建设，推动互联网金融规范发展和维护金融稳定，构建优良金融生态环境。</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11.配合市级有关部门研究制定国有金融资本布局方案。</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12.负责对县区政府金融工作进行业务指导，推进市、县区金融工作协同联动机制建设，参与、指导全市金融人才资源培育和队伍建设工作。推进全市金融知识宣传普及工作。</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13.督促监管范围内的地方法人金融机构建立健全并执行安全生产和职业健康相关制度、规定、标准；组织开展本行业系统安全生产工作检查，总结推广安全生产工作经验，督促整改安全隐患。</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14.负责职责范围内的生态环境保护、审批服务便民化等工作。</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15.完成市委、市政府交办的其他任务。</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仿宋_GB2312" w:hAnsi="宋体" w:eastAsia="仿宋_GB2312" w:cs="宋体"/>
          <w:color w:val="000000"/>
          <w:kern w:val="0"/>
          <w:sz w:val="32"/>
          <w:szCs w:val="32"/>
          <w:shd w:val="clear" w:color="auto" w:fill="FFFFFF"/>
          <w:lang w:val="en-US" w:eastAsia="zh-CN"/>
        </w:rPr>
      </w:pPr>
      <w:r>
        <w:rPr>
          <w:rFonts w:hint="eastAsia" w:ascii="仿宋_GB2312" w:hAnsi="宋体" w:eastAsia="仿宋_GB2312" w:cs="宋体"/>
          <w:color w:val="000000"/>
          <w:kern w:val="0"/>
          <w:sz w:val="32"/>
          <w:szCs w:val="32"/>
          <w:shd w:val="clear" w:color="auto" w:fill="FFFFFF"/>
          <w:lang w:val="en-US" w:eastAsia="zh-CN"/>
        </w:rPr>
        <w:t>16.职能转变。在坚持金融管理主要是中央事权的前提下，按照中央统一规则、地方实施监管，谁审批、谁监管、谁担责的总体要求，加强对地方金融的监督管理，落实好服务实体经济、防控金融风险、深化金融改革三项任务。一是坚持以服务实体经济为宗旨。二是坚持以防范系统性金融风险为底线。</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仿宋_GB2312" w:hAnsi="宋体" w:eastAsia="仿宋_GB2312" w:cs="宋体"/>
          <w:color w:val="000000"/>
          <w:kern w:val="0"/>
          <w:sz w:val="32"/>
          <w:szCs w:val="32"/>
          <w:shd w:val="clear" w:color="auto" w:fill="FFFFFF"/>
          <w:lang w:val="en-US" w:eastAsia="zh-CN"/>
        </w:rPr>
        <w:t>广元市金融工作局行政编制14名，机关工勤1名。截止2023年12月31日，我局在职干部共有18人。</w:t>
      </w:r>
    </w:p>
    <w:p>
      <w:pPr>
        <w:keepNext w:val="0"/>
        <w:keepLines w:val="0"/>
        <w:pageBreakBefore w:val="0"/>
        <w:widowControl w:val="0"/>
        <w:numPr>
          <w:ilvl w:val="0"/>
          <w:numId w:val="8"/>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年度主要工作任务</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2023年，全市金融系统将紧紧围绕市委“1345”发展战略，接续奋斗、锐意创新，主要通过十大路径，全力助推全市经济高质量发展。</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1.紧盯重点产业，全力加大信贷投放。完善重点产业与重点项目融资保障机制，开展金融支持17个重点产业“大走访、大调研、解难题”活动，持续引导金融机构加大对重点领域信贷支持力度，力争全年新增贷款140亿元以上。</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2.紧盯营商环境，全力提升市场主体满意度。完善普惠金融服务体系，增强多元化金融服务供给，推动“小分队”走得更深、做得更实，在解决中小微企业融资难融资贵问题上持续发力。</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3.紧盯乡村振兴，全力推广示范经验。围绕建设脱贫地区特色产业高质量发展引领区，按照“一行帮一县（区）”思路，组织各县区与金融机构结对推广金融支持乡村振兴“剑阁模式”，推动“保险＋期货”试点。</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4.紧盯“双碳”目标，全力做优绿色金融。围绕建设践行绿水青山就是金山银山理念典范城市，积极筹备“四川广元绿色金融高峰论坛”，围绕建设中国绿色铝都，构建供应链金融服务新模式，努力打造区域性绿色金融高地。</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5.紧盯民生保障，全力提升保险服务质效。创新医疗健康保险产品，优化“元惠保”“防贫保”等普惠民生保险，开展保险“五进四送”活动，确保全年保费收入增速高于全省平均水平。</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6.紧盯上市突破，全力加快上市步伐。推动落实《企业上市“助跑提速”十条措施》，“一企一策”、分层培育，梯次推进企业入库、挂牌、上市，重点推动龙昊通航等省级入库企业尽快上市融资。</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7.紧盯债券发行，全力提升直接融资规模。实施“债券优先”发展战略，提升债券融资意识，充分发挥平台公司发债主体作用，降低融资成本，增强直接融资能力。</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8.紧盯市场需求，丰富地方金融组织业态。加快推动融担整合，积极引进地方金融组织，丰富地方金融业态。</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9.紧盯金融招商，全力提升金融招引项目能力。加快推进市场化组建各类产业投资基金，引进风险投资基金，设立金融风险缓释基金、国企低效资产盘活基金，增强金融服务项目能力。</w:t>
      </w:r>
    </w:p>
    <w:p>
      <w:pPr>
        <w:keepNext w:val="0"/>
        <w:keepLines w:val="0"/>
        <w:pageBreakBefore w:val="0"/>
        <w:widowControl w:val="0"/>
        <w:kinsoku/>
        <w:wordWrap/>
        <w:overflowPunct/>
        <w:topLinePunct w:val="0"/>
        <w:autoSpaceDE/>
        <w:autoSpaceDN/>
        <w:bidi w:val="0"/>
        <w:adjustRightInd/>
        <w:snapToGrid/>
        <w:spacing w:after="0" w:line="576" w:lineRule="exact"/>
        <w:ind w:left="0" w:firstLine="640" w:firstLineChars="200"/>
        <w:jc w:val="left"/>
        <w:textAlignment w:val="auto"/>
        <w:rPr>
          <w:rFonts w:hint="eastAsia" w:ascii="Times New Roman" w:hAnsi="Times New Roman" w:eastAsia="仿宋_GB2312" w:cs="Times New Roman"/>
          <w:kern w:val="2"/>
          <w:sz w:val="32"/>
          <w:szCs w:val="20"/>
          <w:lang w:val="zh-CN" w:eastAsia="zh-CN" w:bidi="ar-SA"/>
        </w:rPr>
      </w:pPr>
      <w:r>
        <w:rPr>
          <w:rFonts w:hint="eastAsia" w:ascii="Times New Roman" w:hAnsi="Times New Roman" w:eastAsia="仿宋_GB2312" w:cs="Times New Roman"/>
          <w:kern w:val="2"/>
          <w:sz w:val="32"/>
          <w:szCs w:val="20"/>
          <w:lang w:val="zh-CN" w:eastAsia="zh-CN" w:bidi="ar-SA"/>
        </w:rPr>
        <w:t>10.紧盯稳定发展，牢牢守住金融风险底线。聚焦非法集资、国有企业债务、房地产烂尾断供等风险隐患，完善监测预警制度，强化金融矛盾纠纷多元化解，力争全市非法集资存案清零。</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ascii="黑体" w:hAnsi="宋体" w:eastAsia="黑体" w:cs="宋体"/>
          <w:b w:val="0"/>
          <w:bCs w:val="0"/>
          <w:color w:val="000000"/>
          <w:kern w:val="0"/>
          <w:sz w:val="32"/>
          <w:szCs w:val="32"/>
          <w:highlight w:val="none"/>
          <w:shd w:val="clear" w:color="auto" w:fill="FFFFFF"/>
        </w:rPr>
      </w:pPr>
      <w:r>
        <w:rPr>
          <w:rFonts w:hint="eastAsia" w:ascii="黑体" w:hAnsi="宋体" w:eastAsia="黑体" w:cs="宋体"/>
          <w:b w:val="0"/>
          <w:bCs w:val="0"/>
          <w:color w:val="000000"/>
          <w:kern w:val="0"/>
          <w:sz w:val="32"/>
          <w:szCs w:val="32"/>
          <w:highlight w:val="none"/>
          <w:shd w:val="clear" w:color="auto" w:fill="FFFFFF"/>
        </w:rPr>
        <w:t>二、</w:t>
      </w:r>
      <w:r>
        <w:rPr>
          <w:rFonts w:hint="eastAsia" w:ascii="黑体" w:hAnsi="宋体" w:eastAsia="黑体" w:cs="宋体"/>
          <w:b w:val="0"/>
          <w:bCs w:val="0"/>
          <w:color w:val="000000"/>
          <w:kern w:val="0"/>
          <w:sz w:val="32"/>
          <w:szCs w:val="32"/>
          <w:highlight w:val="none"/>
          <w:shd w:val="clear" w:color="auto" w:fill="FFFFFF"/>
          <w:lang w:eastAsia="zh-CN"/>
        </w:rPr>
        <w:t>部门</w:t>
      </w:r>
      <w:r>
        <w:rPr>
          <w:rFonts w:hint="eastAsia" w:ascii="黑体" w:hAnsi="宋体" w:eastAsia="黑体" w:cs="宋体"/>
          <w:b w:val="0"/>
          <w:bCs w:val="0"/>
          <w:color w:val="000000"/>
          <w:kern w:val="0"/>
          <w:sz w:val="32"/>
          <w:szCs w:val="32"/>
          <w:highlight w:val="none"/>
          <w:shd w:val="clear" w:color="auto" w:fill="FFFFFF"/>
        </w:rPr>
        <w:t>资金收支情况</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eastAsia="仿宋_GB2312"/>
          <w:sz w:val="32"/>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收入情况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仿宋_GB2312" w:hAnsi="宋体" w:eastAsia="仿宋_GB2312" w:cs="宋体"/>
          <w:color w:val="000000"/>
          <w:kern w:val="0"/>
          <w:sz w:val="32"/>
          <w:szCs w:val="32"/>
          <w:shd w:val="clear" w:color="auto" w:fill="FFFFFF"/>
          <w:lang w:val="en-US" w:eastAsia="zh-CN"/>
        </w:rPr>
        <w:t>2023年，</w:t>
      </w:r>
      <w:r>
        <w:rPr>
          <w:rFonts w:hint="eastAsia" w:ascii="仿宋_GB2312" w:hAnsi="宋体" w:eastAsia="仿宋_GB2312" w:cs="宋体"/>
          <w:color w:val="000000"/>
          <w:kern w:val="0"/>
          <w:sz w:val="32"/>
          <w:szCs w:val="32"/>
          <w:shd w:val="clear" w:color="auto" w:fill="FFFFFF"/>
          <w:lang w:val="zh-CN" w:eastAsia="zh-CN"/>
        </w:rPr>
        <w:t>广元市金融工作局部门总体收入</w:t>
      </w:r>
      <w:r>
        <w:rPr>
          <w:rFonts w:hint="eastAsia" w:ascii="仿宋_GB2312" w:hAnsi="宋体" w:eastAsia="仿宋_GB2312" w:cs="宋体"/>
          <w:color w:val="000000"/>
          <w:kern w:val="0"/>
          <w:sz w:val="32"/>
          <w:szCs w:val="32"/>
          <w:shd w:val="clear" w:color="auto" w:fill="FFFFFF"/>
          <w:lang w:val="en-US" w:eastAsia="zh-CN"/>
        </w:rPr>
        <w:t>519.19</w:t>
      </w:r>
      <w:r>
        <w:rPr>
          <w:rFonts w:hint="eastAsia" w:ascii="仿宋_GB2312" w:hAnsi="宋体" w:eastAsia="仿宋_GB2312" w:cs="宋体"/>
          <w:color w:val="000000"/>
          <w:kern w:val="0"/>
          <w:sz w:val="32"/>
          <w:szCs w:val="32"/>
          <w:shd w:val="clear" w:color="auto" w:fill="FFFFFF"/>
          <w:lang w:val="zh-CN" w:eastAsia="zh-CN"/>
        </w:rPr>
        <w:t>万元，其中：一般公共预算拨款收入</w:t>
      </w:r>
      <w:r>
        <w:rPr>
          <w:rFonts w:hint="eastAsia" w:ascii="仿宋_GB2312" w:hAnsi="宋体" w:eastAsia="仿宋_GB2312" w:cs="宋体"/>
          <w:color w:val="000000"/>
          <w:kern w:val="0"/>
          <w:sz w:val="32"/>
          <w:szCs w:val="32"/>
          <w:shd w:val="clear" w:color="auto" w:fill="FFFFFF"/>
          <w:lang w:val="en-US" w:eastAsia="zh-CN"/>
        </w:rPr>
        <w:t>518.63</w:t>
      </w:r>
      <w:r>
        <w:rPr>
          <w:rFonts w:hint="eastAsia" w:ascii="仿宋_GB2312" w:hAnsi="宋体" w:eastAsia="仿宋_GB2312" w:cs="宋体"/>
          <w:color w:val="000000"/>
          <w:kern w:val="0"/>
          <w:sz w:val="32"/>
          <w:szCs w:val="32"/>
          <w:shd w:val="clear" w:color="auto" w:fill="FFFFFF"/>
          <w:lang w:val="zh-CN" w:eastAsia="zh-CN"/>
        </w:rPr>
        <w:t>万元，占</w:t>
      </w:r>
      <w:r>
        <w:rPr>
          <w:rFonts w:hint="eastAsia" w:ascii="仿宋_GB2312" w:hAnsi="宋体" w:eastAsia="仿宋_GB2312" w:cs="宋体"/>
          <w:color w:val="000000"/>
          <w:kern w:val="0"/>
          <w:sz w:val="32"/>
          <w:szCs w:val="32"/>
          <w:shd w:val="clear" w:color="auto" w:fill="FFFFFF"/>
          <w:lang w:val="en-US" w:eastAsia="zh-CN"/>
        </w:rPr>
        <w:t>99.89</w:t>
      </w:r>
      <w:r>
        <w:rPr>
          <w:rFonts w:hint="eastAsia" w:ascii="仿宋_GB2312" w:hAnsi="宋体" w:eastAsia="仿宋_GB2312" w:cs="宋体"/>
          <w:color w:val="000000"/>
          <w:kern w:val="0"/>
          <w:sz w:val="32"/>
          <w:szCs w:val="32"/>
          <w:shd w:val="clear" w:color="auto" w:fill="FFFFFF"/>
          <w:lang w:val="zh-CN" w:eastAsia="zh-CN"/>
        </w:rPr>
        <w:t>%，其他收入</w:t>
      </w:r>
      <w:r>
        <w:rPr>
          <w:rFonts w:hint="eastAsia" w:ascii="仿宋_GB2312" w:hAnsi="宋体" w:eastAsia="仿宋_GB2312" w:cs="宋体"/>
          <w:color w:val="000000"/>
          <w:kern w:val="0"/>
          <w:sz w:val="32"/>
          <w:szCs w:val="32"/>
          <w:shd w:val="clear" w:color="auto" w:fill="FFFFFF"/>
          <w:lang w:val="en-US" w:eastAsia="zh-CN"/>
        </w:rPr>
        <w:t>0.57万元（利息、党费返拨等），占0.11%</w:t>
      </w:r>
      <w:r>
        <w:rPr>
          <w:rFonts w:hint="eastAsia" w:ascii="仿宋_GB2312" w:hAnsi="宋体" w:eastAsia="仿宋_GB2312" w:cs="宋体"/>
          <w:color w:val="000000"/>
          <w:kern w:val="0"/>
          <w:sz w:val="32"/>
          <w:szCs w:val="32"/>
          <w:shd w:val="clear" w:color="auto" w:fill="FFFFFF"/>
          <w:lang w:val="zh-CN"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仿宋_GB2312" w:hAnsi="宋体" w:eastAsia="仿宋_GB2312" w:cs="宋体"/>
          <w:color w:val="000000"/>
          <w:kern w:val="0"/>
          <w:sz w:val="32"/>
          <w:szCs w:val="32"/>
          <w:shd w:val="clear" w:color="auto" w:fill="FFFFFF"/>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二</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支出情况</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仿宋_GB2312" w:hAnsi="宋体" w:eastAsia="仿宋_GB2312" w:cs="宋体"/>
          <w:color w:val="000000"/>
          <w:kern w:val="0"/>
          <w:sz w:val="32"/>
          <w:szCs w:val="32"/>
          <w:shd w:val="clear" w:color="auto" w:fill="FFFFFF"/>
          <w:lang w:val="en-US" w:eastAsia="zh-CN"/>
        </w:rPr>
        <w:t>2023年，广元市金融工作局部门资金支出528.19万元，其中：基本支出443.53万元，占83.97%；项目支出（含代管资金）84.66万元，占16.03%。</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after="0" w:line="576" w:lineRule="exact"/>
        <w:ind w:left="0" w:leftChars="0" w:firstLine="642" w:firstLineChars="200"/>
        <w:textAlignment w:val="auto"/>
        <w:rPr>
          <w:rFonts w:hint="eastAsia" w:ascii="仿宋_GB2312" w:hAnsi="仿宋_GB2312" w:eastAsia="仿宋_GB2312" w:cs="仿宋_GB2312"/>
          <w:color w:val="000000"/>
          <w:sz w:val="32"/>
          <w:szCs w:val="32"/>
          <w:lang w:val="en-US" w:eastAsia="zh-CN" w:bidi="ar-SA"/>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r>
        <w:rPr>
          <w:rFonts w:hint="eastAsia" w:ascii="仿宋_GB2312" w:hAnsi="仿宋_GB2312" w:eastAsia="仿宋_GB2312" w:cs="仿宋_GB2312"/>
          <w:color w:val="000000"/>
          <w:sz w:val="32"/>
          <w:szCs w:val="32"/>
          <w:lang w:val="en-US" w:eastAsia="zh-CN" w:bidi="ar-SA"/>
        </w:rPr>
        <w:t>2023年，广元市金融工作局部门总体结转（代管资金、其他收入）0.477万元。</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default" w:eastAsia="黑体" w:cs="Times New Roman"/>
          <w:color w:val="000000"/>
          <w:kern w:val="0"/>
          <w:sz w:val="32"/>
          <w:szCs w:val="32"/>
          <w:highlight w:val="none"/>
          <w:shd w:val="clear" w:color="auto" w:fill="FFFFFF"/>
          <w:lang w:val="zh-CN" w:eastAsia="zh-CN"/>
        </w:rPr>
        <w:t>三、部门预算绩效分析</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w:t>
      </w:r>
      <w:r>
        <w:rPr>
          <w:rFonts w:hint="eastAsia" w:ascii="Times New Roman" w:hAnsi="Times New Roman" w:eastAsia="楷体_GB2312" w:cs="Times New Roman"/>
          <w:b/>
          <w:bCs/>
          <w:color w:val="000000"/>
          <w:kern w:val="0"/>
          <w:sz w:val="32"/>
          <w:szCs w:val="32"/>
          <w:highlight w:val="none"/>
          <w:shd w:val="clear" w:color="auto" w:fill="FFFFFF"/>
          <w:lang w:val="zh-CN"/>
        </w:rPr>
        <w:t>部门预算</w:t>
      </w:r>
      <w:r>
        <w:rPr>
          <w:rFonts w:hint="default" w:ascii="Times New Roman" w:hAnsi="Times New Roman" w:eastAsia="楷体_GB2312" w:cs="Times New Roman"/>
          <w:b/>
          <w:bCs/>
          <w:color w:val="000000"/>
          <w:kern w:val="0"/>
          <w:sz w:val="32"/>
          <w:szCs w:val="32"/>
          <w:highlight w:val="none"/>
          <w:shd w:val="clear" w:color="auto" w:fill="FFFFFF"/>
          <w:lang w:val="zh-CN"/>
        </w:rPr>
        <w:t>总体绩效分析。</w:t>
      </w:r>
    </w:p>
    <w:p>
      <w:pPr>
        <w:keepNext w:val="0"/>
        <w:keepLines w:val="0"/>
        <w:pageBreakBefore w:val="0"/>
        <w:widowControl/>
        <w:suppressLineNumbers w:val="0"/>
        <w:kinsoku/>
        <w:wordWrap/>
        <w:overflowPunct/>
        <w:topLinePunct w:val="0"/>
        <w:autoSpaceDE/>
        <w:autoSpaceDN/>
        <w:bidi w:val="0"/>
        <w:adjustRightInd/>
        <w:snapToGrid/>
        <w:spacing w:line="576" w:lineRule="exact"/>
        <w:ind w:left="0" w:firstLine="640" w:firstLineChars="200"/>
        <w:jc w:val="both"/>
        <w:textAlignment w:val="auto"/>
        <w:rPr>
          <w:rFonts w:hint="eastAsia" w:ascii="仿宋_GB2312" w:hAnsi="仿宋_GB2312" w:eastAsia="仿宋_GB2312" w:cs="仿宋_GB2312"/>
          <w:color w:val="000000"/>
          <w:kern w:val="0"/>
          <w:sz w:val="32"/>
          <w:szCs w:val="32"/>
          <w:highlight w:val="none"/>
          <w:shd w:val="clear" w:color="auto" w:fill="FFFFFF"/>
          <w:lang w:val="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履职效能。</w:t>
      </w:r>
      <w:r>
        <w:rPr>
          <w:rFonts w:hint="eastAsia" w:ascii="仿宋_GB2312" w:hAnsi="仿宋_GB2312" w:eastAsia="仿宋_GB2312" w:cs="仿宋_GB2312"/>
          <w:color w:val="000000"/>
          <w:kern w:val="0"/>
          <w:sz w:val="32"/>
          <w:szCs w:val="32"/>
          <w:highlight w:val="none"/>
          <w:shd w:val="clear" w:color="auto" w:fill="FFFFFF"/>
          <w:lang w:val="zh-CN"/>
        </w:rPr>
        <w:t>一是完成了10家小贷公司合规性检查。全年申报省局审批备案的典当公司股权变更事项2件，因申报资料不符合相关规定，驳回变更事项1件；融资担保公司高管变更3件、增资变更2件。截止11月末，全市在营融资担保公司共11家，实际在保余额40.11亿元，同比下降18.09%。在保客户数44751户，同比下降63.32%、本年累计代偿1.65亿元，同比下降1.2%；全市小额贷款公司11家，贷款余额13.26亿元，同比下降1.78%；贷款户数1666户，同比增长46.78%，监管系统显示不良贷款1.25亿元不良率同比增长4.17%。2023年5月份我市6家政府性融资担保公司在全省范围内首创组建融资担保共保体，共同开展数字化一站式办理的农民工工资担保业务。支持全市工程建设项目63个，总投资额为36.5亿元，融资担保机构增收约91.5万元，切实减轻建筑企业资金负担5300余万元。建立了以分管县区领导为组长，</w:t>
      </w:r>
      <w:r>
        <w:rPr>
          <w:rFonts w:hint="eastAsia" w:ascii="仿宋_GB2312" w:hAnsi="仿宋_GB2312" w:eastAsia="仿宋_GB2312" w:cs="仿宋_GB2312"/>
          <w:color w:val="000000"/>
          <w:kern w:val="0"/>
          <w:sz w:val="32"/>
          <w:szCs w:val="32"/>
          <w:highlight w:val="none"/>
          <w:shd w:val="clear" w:color="auto" w:fill="FFFFFF"/>
          <w:lang w:val="en-US" w:eastAsia="zh-CN"/>
        </w:rPr>
        <w:t>县区</w:t>
      </w:r>
      <w:r>
        <w:rPr>
          <w:rFonts w:hint="eastAsia" w:ascii="仿宋_GB2312" w:hAnsi="仿宋_GB2312" w:eastAsia="仿宋_GB2312" w:cs="仿宋_GB2312"/>
          <w:color w:val="000000"/>
          <w:kern w:val="0"/>
          <w:sz w:val="32"/>
          <w:szCs w:val="32"/>
          <w:highlight w:val="none"/>
          <w:shd w:val="clear" w:color="auto" w:fill="FFFFFF"/>
          <w:lang w:val="zh-CN"/>
        </w:rPr>
        <w:t>金融服务中心、农业农村局、供销联社、市场监管局、法院等部门为成员的联合整改规范组，对我市4家农村资金互助社进行了解散清算工作，共同推动惠农资金互助社按时、合规完成解散清算。会同市市场监督管理局协商依法完成两家小额贷款公司变更事项。有效的防范了地方金融风险。二是开展金融支持重点产业“大走访、大调研、解难题”活动，为重点产业链上企业开展“一对一”融资对接服务。先后举办铝产业融资座谈会、绿色家居产业融资对接会等各类银企对接活动30余场次，为全市重点产业投放各类贷款147.95亿元。印发《关于做好民营和小微企业金融服务的通知》，完善“线上＋线下”普惠金融服务体系，充分发挥全省首家普惠金融服务中心作用，推动“融资难融资贵攻坚克难小分队”走深走实，小分队累计走访企业677户，帮助获得贷款9.05亿元，协调贷款展期、续贷3.13亿元。举办“广元金融直播”34次，吸引各类市场主体2.6万人次观看。召开金融支持乡村振兴“一行（司）帮一县”启动会，促成7个县区与14家机构合作，创新打造全省金融助力乡村振兴“广元模式”。引导金融机构创新“茶叶流水贷”“涉农巨灾天气指数保险”等金融产品，拓展“裕农通”等农村金融服务站点。制定《关于健全金融支持生态产品价值实现服务体系的实施意见》，建立碳账户98个，发放“碳表现”挂钩贷款6.99亿元。推动农发行广元市分行设立2家绿色支行，落地全省首单“森林碳汇遥感指数保险”。三是开展防范和处置非法集资“全力攻坚、决胜全年”专项整治行动。2023年全年化解非法集资存案5件，实现了全市全年非法集资存案“清零”，全面完成省下目标任务。四是</w:t>
      </w:r>
      <w:r>
        <w:rPr>
          <w:rFonts w:hint="eastAsia" w:ascii="仿宋_GB2312" w:hAnsi="仿宋_GB2312" w:eastAsia="仿宋_GB2312" w:cs="仿宋_GB2312"/>
          <w:b w:val="0"/>
          <w:bCs w:val="0"/>
          <w:color w:val="auto"/>
          <w:kern w:val="2"/>
          <w:sz w:val="32"/>
          <w:szCs w:val="32"/>
          <w:lang w:val="en-US" w:eastAsia="zh-CN" w:bidi="ar-SA"/>
        </w:rPr>
        <w:t>扎实摸排“两新”组织党建工作基本情况，对全市31家地方金融组织党建工作开展摸排，摸清“家底”。对已建有基层党支部的地方金融组织，指导支部发展预备党员3人；对没有基层党支部的17家民营地方金融组织，深入查找“隐性党员”“口袋党员”，瞄准没有党员或只有个别党员的企业实施培育，推动地方金融组织行业未建立党组织的两新组织和未纳入组织管理的流动党员动态“清零”。</w:t>
      </w:r>
    </w:p>
    <w:p>
      <w:pPr>
        <w:keepNext w:val="0"/>
        <w:keepLines w:val="0"/>
        <w:pageBreakBefore w:val="0"/>
        <w:widowControl/>
        <w:suppressLineNumbers w:val="0"/>
        <w:kinsoku/>
        <w:wordWrap/>
        <w:overflowPunct/>
        <w:topLinePunct w:val="0"/>
        <w:autoSpaceDE/>
        <w:autoSpaceDN/>
        <w:bidi w:val="0"/>
        <w:adjustRightInd/>
        <w:snapToGrid/>
        <w:spacing w:line="576" w:lineRule="exact"/>
        <w:ind w:left="0" w:firstLine="640" w:firstLineChars="200"/>
        <w:jc w:val="left"/>
        <w:textAlignment w:val="auto"/>
        <w:rPr>
          <w:rFonts w:hint="eastAsia" w:ascii="仿宋_GB2312" w:hAnsi="仿宋_GB2312" w:eastAsia="仿宋_GB2312" w:cs="仿宋_GB2312"/>
          <w:color w:val="000000"/>
          <w:kern w:val="0"/>
          <w:sz w:val="32"/>
          <w:szCs w:val="32"/>
          <w:highlight w:val="none"/>
          <w:shd w:val="clear" w:color="auto" w:fill="FFFFFF"/>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2.</w:t>
      </w:r>
      <w:r>
        <w:rPr>
          <w:rFonts w:hint="default" w:ascii="楷体_GB2312" w:hAnsi="楷体_GB2312" w:eastAsia="楷体_GB2312" w:cs="楷体_GB2312"/>
          <w:color w:val="000000"/>
          <w:kern w:val="0"/>
          <w:sz w:val="32"/>
          <w:szCs w:val="32"/>
          <w:highlight w:val="none"/>
          <w:shd w:val="clear" w:color="auto" w:fill="FFFFFF"/>
          <w:lang w:val="zh-CN" w:eastAsia="zh-CN"/>
        </w:rPr>
        <w:t>预算管理</w:t>
      </w:r>
      <w:r>
        <w:rPr>
          <w:rFonts w:hint="eastAsia" w:ascii="楷体_GB2312" w:hAnsi="楷体_GB2312" w:eastAsia="楷体_GB2312" w:cs="楷体_GB2312"/>
          <w:color w:val="000000"/>
          <w:kern w:val="0"/>
          <w:sz w:val="32"/>
          <w:szCs w:val="32"/>
          <w:highlight w:val="none"/>
          <w:shd w:val="clear" w:color="auto" w:fill="FFFFFF"/>
          <w:lang w:val="zh-CN" w:eastAsia="zh-CN"/>
        </w:rPr>
        <w:t>。</w:t>
      </w:r>
      <w:r>
        <w:rPr>
          <w:rFonts w:hint="eastAsia" w:ascii="仿宋_GB2312" w:hAnsi="仿宋_GB2312" w:eastAsia="仿宋_GB2312" w:cs="仿宋_GB2312"/>
          <w:color w:val="000000"/>
          <w:kern w:val="0"/>
          <w:sz w:val="32"/>
          <w:szCs w:val="32"/>
          <w:highlight w:val="none"/>
          <w:shd w:val="clear" w:color="auto" w:fill="FFFFFF"/>
          <w:lang w:val="zh-CN" w:eastAsia="zh-CN"/>
        </w:rPr>
        <w:t>一是进一步完善内部制度建设，规范预算执行、细化收支管理；二是严格执行资金使用规定，提高资金使用效益；三是</w:t>
      </w:r>
      <w:r>
        <w:rPr>
          <w:rFonts w:hint="default" w:ascii="仿宋_GB2312" w:hAnsi="仿宋_GB2312" w:eastAsia="仿宋_GB2312" w:cs="仿宋_GB2312"/>
          <w:color w:val="000000"/>
          <w:kern w:val="0"/>
          <w:sz w:val="32"/>
          <w:szCs w:val="32"/>
          <w:highlight w:val="none"/>
          <w:shd w:val="clear" w:color="auto" w:fill="FFFFFF"/>
          <w:lang w:val="zh-CN" w:eastAsia="zh-CN"/>
        </w:rPr>
        <w:t>是落实主体责任</w:t>
      </w:r>
      <w:r>
        <w:rPr>
          <w:rFonts w:hint="eastAsia" w:ascii="仿宋_GB2312" w:hAnsi="仿宋_GB2312" w:eastAsia="仿宋_GB2312" w:cs="仿宋_GB2312"/>
          <w:color w:val="000000"/>
          <w:kern w:val="0"/>
          <w:sz w:val="32"/>
          <w:szCs w:val="32"/>
          <w:highlight w:val="none"/>
          <w:shd w:val="clear" w:color="auto" w:fill="FFFFFF"/>
          <w:lang w:val="zh-CN" w:eastAsia="zh-CN"/>
        </w:rPr>
        <w:t>，</w:t>
      </w:r>
      <w:r>
        <w:rPr>
          <w:rFonts w:hint="default" w:ascii="仿宋_GB2312" w:hAnsi="仿宋_GB2312" w:eastAsia="仿宋_GB2312" w:cs="仿宋_GB2312"/>
          <w:color w:val="000000"/>
          <w:kern w:val="0"/>
          <w:sz w:val="32"/>
          <w:szCs w:val="32"/>
          <w:highlight w:val="none"/>
          <w:shd w:val="clear" w:color="auto" w:fill="FFFFFF"/>
          <w:lang w:val="zh-CN" w:eastAsia="zh-CN"/>
        </w:rPr>
        <w:t>按照“谁支出、谁监控”的原则，压实</w:t>
      </w:r>
      <w:r>
        <w:rPr>
          <w:rFonts w:hint="eastAsia" w:ascii="仿宋_GB2312" w:hAnsi="仿宋_GB2312" w:eastAsia="仿宋_GB2312" w:cs="仿宋_GB2312"/>
          <w:color w:val="000000"/>
          <w:kern w:val="0"/>
          <w:sz w:val="32"/>
          <w:szCs w:val="32"/>
          <w:highlight w:val="none"/>
          <w:shd w:val="clear" w:color="auto" w:fill="FFFFFF"/>
          <w:lang w:val="zh-CN" w:eastAsia="zh-CN"/>
        </w:rPr>
        <w:t>各项目负责人</w:t>
      </w:r>
      <w:r>
        <w:rPr>
          <w:rFonts w:hint="default" w:ascii="仿宋_GB2312" w:hAnsi="仿宋_GB2312" w:eastAsia="仿宋_GB2312" w:cs="仿宋_GB2312"/>
          <w:color w:val="000000"/>
          <w:kern w:val="0"/>
          <w:sz w:val="32"/>
          <w:szCs w:val="32"/>
          <w:highlight w:val="none"/>
          <w:shd w:val="clear" w:color="auto" w:fill="FFFFFF"/>
          <w:lang w:val="zh-CN" w:eastAsia="zh-CN"/>
        </w:rPr>
        <w:t>主体责任，系统谋划，对所有项目和部门整体支出全面开展预算执行情况和绩效目标实现监控</w:t>
      </w:r>
      <w:r>
        <w:rPr>
          <w:rFonts w:hint="eastAsia" w:ascii="仿宋_GB2312" w:hAnsi="仿宋_GB2312" w:eastAsia="仿宋_GB2312" w:cs="仿宋_GB2312"/>
          <w:color w:val="000000"/>
          <w:kern w:val="0"/>
          <w:sz w:val="32"/>
          <w:szCs w:val="32"/>
          <w:highlight w:val="none"/>
          <w:shd w:val="clear" w:color="auto" w:fill="FFFFFF"/>
          <w:lang w:val="zh-CN" w:eastAsia="zh-CN"/>
        </w:rPr>
        <w:t>；四</w:t>
      </w:r>
      <w:r>
        <w:rPr>
          <w:rFonts w:hint="default" w:ascii="仿宋_GB2312" w:hAnsi="仿宋_GB2312" w:eastAsia="仿宋_GB2312" w:cs="仿宋_GB2312"/>
          <w:color w:val="000000"/>
          <w:kern w:val="0"/>
          <w:sz w:val="32"/>
          <w:szCs w:val="32"/>
          <w:highlight w:val="none"/>
          <w:shd w:val="clear" w:color="auto" w:fill="FFFFFF"/>
          <w:lang w:val="zh-CN" w:eastAsia="zh-CN"/>
        </w:rPr>
        <w:t>是</w:t>
      </w:r>
      <w:r>
        <w:rPr>
          <w:rFonts w:hint="eastAsia" w:ascii="仿宋_GB2312" w:hAnsi="仿宋_GB2312" w:eastAsia="仿宋_GB2312" w:cs="仿宋_GB2312"/>
          <w:color w:val="000000"/>
          <w:kern w:val="0"/>
          <w:sz w:val="32"/>
          <w:szCs w:val="32"/>
          <w:highlight w:val="none"/>
          <w:shd w:val="clear" w:color="auto" w:fill="FFFFFF"/>
          <w:lang w:val="en-US" w:eastAsia="zh-CN"/>
        </w:rPr>
        <w:t>严格按照预算批复的项目、科目、资金性质、金额和用途执行预算资金，科学合理安排支出进度。</w:t>
      </w:r>
    </w:p>
    <w:p>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6" w:lineRule="exact"/>
        <w:ind w:left="0" w:right="0" w:firstLine="640" w:firstLineChars="200"/>
        <w:jc w:val="both"/>
        <w:textAlignment w:val="auto"/>
        <w:rPr>
          <w:rFonts w:hint="eastAsia" w:ascii="楷体_GB2312" w:hAnsi="楷体_GB2312" w:eastAsia="楷体_GB2312" w:cs="楷体_GB2312"/>
          <w:color w:val="000000"/>
          <w:kern w:val="0"/>
          <w:sz w:val="32"/>
          <w:szCs w:val="32"/>
          <w:highlight w:val="none"/>
          <w:shd w:val="clear" w:color="auto" w:fill="FFFFFF"/>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default" w:ascii="楷体_GB2312" w:hAnsi="楷体_GB2312" w:eastAsia="楷体_GB2312" w:cs="楷体_GB2312"/>
          <w:color w:val="000000"/>
          <w:kern w:val="0"/>
          <w:sz w:val="32"/>
          <w:szCs w:val="32"/>
          <w:highlight w:val="none"/>
          <w:shd w:val="clear" w:color="auto" w:fill="FFFFFF"/>
          <w:lang w:val="zh-CN" w:eastAsia="zh-CN"/>
        </w:rPr>
        <w:t>财务管理</w:t>
      </w:r>
      <w:r>
        <w:rPr>
          <w:rFonts w:hint="eastAsia" w:ascii="楷体_GB2312" w:hAnsi="楷体_GB2312" w:eastAsia="楷体_GB2312" w:cs="楷体_GB2312"/>
          <w:color w:val="000000"/>
          <w:kern w:val="0"/>
          <w:sz w:val="32"/>
          <w:szCs w:val="32"/>
          <w:highlight w:val="none"/>
          <w:shd w:val="clear" w:color="auto" w:fill="FFFFFF"/>
          <w:lang w:val="zh-CN" w:eastAsia="zh-CN"/>
        </w:rPr>
        <w:t>。</w:t>
      </w:r>
      <w:r>
        <w:rPr>
          <w:rFonts w:hint="default" w:ascii="仿宋_GB2312" w:hAnsi="仿宋_GB2312" w:eastAsia="仿宋_GB2312" w:cs="仿宋_GB2312"/>
          <w:color w:val="000000"/>
          <w:kern w:val="0"/>
          <w:sz w:val="32"/>
          <w:szCs w:val="32"/>
          <w:highlight w:val="none"/>
          <w:shd w:val="clear" w:color="auto" w:fill="FFFFFF"/>
          <w:lang w:val="en-US" w:eastAsia="zh-CN" w:bidi="ar"/>
        </w:rPr>
        <w:t>认真落实财经纪律要求，严格财务管理，落实落细过“紧日子”要求。严格执行“三公”经费预算，不超标准、超规格安排公务活动，有效降低机关运行成本。</w:t>
      </w:r>
    </w:p>
    <w:p>
      <w:pPr>
        <w:keepNext w:val="0"/>
        <w:keepLines w:val="0"/>
        <w:pageBreakBefore w:val="0"/>
        <w:kinsoku/>
        <w:wordWrap/>
        <w:overflowPunct/>
        <w:topLinePunct w:val="0"/>
        <w:autoSpaceDE/>
        <w:autoSpaceDN/>
        <w:bidi w:val="0"/>
        <w:adjustRightInd/>
        <w:snapToGrid/>
        <w:spacing w:line="576" w:lineRule="exact"/>
        <w:ind w:left="0" w:firstLine="640" w:firstLineChars="200"/>
        <w:textAlignment w:val="auto"/>
        <w:rPr>
          <w:rFonts w:hint="default" w:ascii="楷体_GB2312" w:hAnsi="楷体_GB2312" w:eastAsia="仿宋_GB2312" w:cs="楷体_GB2312"/>
          <w:color w:val="000000"/>
          <w:kern w:val="0"/>
          <w:sz w:val="32"/>
          <w:szCs w:val="32"/>
          <w:highlight w:val="none"/>
          <w:shd w:val="clear" w:color="auto" w:fill="FFFFFF"/>
          <w:lang w:val="en-US"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4.</w:t>
      </w:r>
      <w:r>
        <w:rPr>
          <w:rFonts w:hint="default" w:ascii="楷体_GB2312" w:hAnsi="楷体_GB2312" w:eastAsia="楷体_GB2312" w:cs="楷体_GB2312"/>
          <w:color w:val="000000"/>
          <w:kern w:val="0"/>
          <w:sz w:val="32"/>
          <w:szCs w:val="32"/>
          <w:highlight w:val="none"/>
          <w:shd w:val="clear" w:color="auto" w:fill="FFFFFF"/>
          <w:lang w:val="zh-CN"/>
        </w:rPr>
        <w:t>资产管理</w:t>
      </w:r>
      <w:r>
        <w:rPr>
          <w:rFonts w:hint="eastAsia" w:ascii="楷体_GB2312" w:hAnsi="楷体_GB2312" w:eastAsia="楷体_GB2312" w:cs="楷体_GB2312"/>
          <w:color w:val="000000"/>
          <w:kern w:val="0"/>
          <w:sz w:val="32"/>
          <w:szCs w:val="32"/>
          <w:highlight w:val="none"/>
          <w:shd w:val="clear" w:color="auto" w:fill="FFFFFF"/>
          <w:lang w:val="zh-CN"/>
        </w:rPr>
        <w:t>。</w:t>
      </w:r>
      <w:r>
        <w:rPr>
          <w:rFonts w:hint="eastAsia" w:ascii="仿宋_GB2312" w:hAnsi="仿宋_GB2312" w:eastAsia="仿宋_GB2312" w:cs="仿宋_GB2312"/>
          <w:color w:val="000000"/>
          <w:kern w:val="0"/>
          <w:sz w:val="32"/>
          <w:szCs w:val="32"/>
          <w:highlight w:val="none"/>
          <w:shd w:val="clear" w:color="auto" w:fill="FFFFFF"/>
          <w:lang w:val="zh-CN"/>
        </w:rPr>
        <w:t>严格按时间节点完成资产盘点，确保资产系统数据与财务账务数据一致。</w:t>
      </w:r>
      <w:r>
        <w:rPr>
          <w:rFonts w:hint="eastAsia" w:ascii="仿宋_GB2312" w:hAnsi="仿宋_GB2312" w:eastAsia="仿宋_GB2312" w:cs="仿宋_GB2312"/>
          <w:color w:val="000000"/>
          <w:kern w:val="0"/>
          <w:sz w:val="32"/>
          <w:szCs w:val="32"/>
          <w:highlight w:val="none"/>
          <w:shd w:val="clear" w:color="auto" w:fill="FFFFFF"/>
          <w:lang w:val="en-US" w:eastAsia="zh-CN"/>
        </w:rPr>
        <w:t>2023年符合固定资产标准的资产已经全部入账，2023年报废的固定资产已按照资产报废批复已全部在资产系统做报废处置，并在会计账目中做减少处置。</w:t>
      </w:r>
    </w:p>
    <w:p>
      <w:pPr>
        <w:pStyle w:val="5"/>
        <w:keepNext w:val="0"/>
        <w:keepLines w:val="0"/>
        <w:pageBreakBefore w:val="0"/>
        <w:kinsoku/>
        <w:wordWrap/>
        <w:overflowPunct/>
        <w:topLinePunct w:val="0"/>
        <w:bidi w:val="0"/>
        <w:spacing w:line="576" w:lineRule="exact"/>
        <w:ind w:left="0" w:leftChars="0" w:firstLine="640" w:firstLineChars="200"/>
        <w:textAlignment w:val="auto"/>
        <w:rPr>
          <w:rFonts w:hint="default" w:ascii="楷体_GB2312" w:hAnsi="楷体_GB2312" w:eastAsia="楷体_GB2312" w:cs="楷体_GB2312"/>
          <w:color w:val="000000"/>
          <w:kern w:val="0"/>
          <w:sz w:val="32"/>
          <w:szCs w:val="32"/>
          <w:highlight w:val="none"/>
          <w:shd w:val="clear" w:color="auto" w:fill="FFFFFF"/>
          <w:lang w:val="en-US"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5.</w:t>
      </w:r>
      <w:r>
        <w:rPr>
          <w:rFonts w:hint="default" w:ascii="楷体_GB2312" w:hAnsi="楷体_GB2312" w:eastAsia="楷体_GB2312" w:cs="楷体_GB2312"/>
          <w:color w:val="000000"/>
          <w:kern w:val="0"/>
          <w:sz w:val="32"/>
          <w:szCs w:val="32"/>
          <w:highlight w:val="none"/>
          <w:shd w:val="clear" w:color="auto" w:fill="FFFFFF"/>
          <w:lang w:val="zh-CN"/>
        </w:rPr>
        <w:t>采购管理</w:t>
      </w:r>
      <w:r>
        <w:rPr>
          <w:rFonts w:hint="eastAsia" w:ascii="楷体_GB2312" w:hAnsi="楷体_GB2312" w:eastAsia="楷体_GB2312" w:cs="楷体_GB2312"/>
          <w:color w:val="000000"/>
          <w:kern w:val="0"/>
          <w:sz w:val="32"/>
          <w:szCs w:val="32"/>
          <w:highlight w:val="none"/>
          <w:shd w:val="clear" w:color="auto" w:fill="FFFFFF"/>
          <w:lang w:val="zh-CN"/>
        </w:rPr>
        <w:t>。</w:t>
      </w:r>
      <w:r>
        <w:rPr>
          <w:rFonts w:hint="eastAsia" w:ascii="仿宋_GB2312" w:hAnsi="仿宋_GB2312" w:eastAsia="仿宋_GB2312" w:cs="仿宋_GB2312"/>
          <w:color w:val="000000"/>
          <w:kern w:val="0"/>
          <w:sz w:val="32"/>
          <w:szCs w:val="32"/>
          <w:highlight w:val="none"/>
          <w:shd w:val="clear" w:color="auto" w:fill="FFFFFF"/>
          <w:lang w:val="en-US" w:eastAsia="zh-CN" w:bidi="ar-SA"/>
        </w:rPr>
        <w:t>2023年，我局购买办公设备和家具合计5.7万元，全部严格按照流程在广元电子商城进行采购。</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pPr>
        <w:keepNext w:val="0"/>
        <w:keepLines w:val="0"/>
        <w:pageBreakBefore w:val="0"/>
        <w:widowControl/>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常年项目绩效分析。</w:t>
      </w:r>
      <w:r>
        <w:rPr>
          <w:rFonts w:hint="default" w:ascii="Times New Roman" w:hAnsi="Times New Roman" w:eastAsia="仿宋_GB2312" w:cs="Times New Roman"/>
          <w:sz w:val="32"/>
          <w:szCs w:val="32"/>
          <w:lang w:val="zh-CN" w:eastAsia="zh-CN"/>
        </w:rPr>
        <w:t>该类项目总数</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个，涉及预算总金额</w:t>
      </w:r>
      <w:r>
        <w:rPr>
          <w:rFonts w:hint="eastAsia" w:ascii="Times New Roman" w:hAnsi="Times New Roman" w:eastAsia="仿宋_GB2312" w:cs="Times New Roman"/>
          <w:sz w:val="32"/>
          <w:szCs w:val="32"/>
          <w:lang w:val="en-US" w:eastAsia="zh-CN"/>
        </w:rPr>
        <w:t>478.09</w:t>
      </w:r>
      <w:r>
        <w:rPr>
          <w:rFonts w:hint="default" w:ascii="Times New Roman" w:hAnsi="Times New Roman" w:eastAsia="仿宋_GB2312" w:cs="Times New Roman"/>
          <w:sz w:val="32"/>
          <w:szCs w:val="32"/>
          <w:lang w:val="zh-CN" w:eastAsia="zh-CN"/>
        </w:rPr>
        <w:t>万元，1</w:t>
      </w:r>
      <w:r>
        <w:rPr>
          <w:rFonts w:hint="eastAsia"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1</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月预算执行总体进度为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zh-CN" w:eastAsia="zh-CN"/>
        </w:rPr>
        <w:t>%，其中：</w:t>
      </w:r>
      <w:r>
        <w:rPr>
          <w:rFonts w:hint="eastAsia" w:ascii="Times New Roman" w:hAnsi="Times New Roman" w:eastAsia="仿宋_GB2312" w:cs="Times New Roman"/>
          <w:sz w:val="32"/>
          <w:szCs w:val="32"/>
          <w:lang w:val="zh-CN" w:eastAsia="zh-CN"/>
        </w:rPr>
        <w:t>没有</w:t>
      </w:r>
      <w:r>
        <w:rPr>
          <w:rFonts w:hint="default" w:ascii="Times New Roman" w:hAnsi="Times New Roman" w:eastAsia="仿宋_GB2312" w:cs="Times New Roman"/>
          <w:sz w:val="32"/>
          <w:szCs w:val="32"/>
          <w:lang w:val="zh-CN" w:eastAsia="zh-CN"/>
        </w:rPr>
        <w:t>预算结余率大于</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的项目。</w:t>
      </w:r>
    </w:p>
    <w:p>
      <w:pPr>
        <w:keepNext w:val="0"/>
        <w:keepLines w:val="0"/>
        <w:pageBreakBefore w:val="0"/>
        <w:widowControl/>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default" w:ascii="Times New Roman" w:hAnsi="Times New Roman" w:eastAsia="仿宋_GB2312" w:cs="Times New Roman"/>
          <w:sz w:val="32"/>
          <w:szCs w:val="32"/>
          <w:lang w:val="zh-CN" w:eastAsia="zh-CN"/>
        </w:rPr>
      </w:pPr>
      <w:r>
        <w:rPr>
          <w:rFonts w:hint="default" w:ascii="Times New Roman" w:hAnsi="Times New Roman" w:eastAsia="仿宋_GB2312" w:cs="Times New Roman"/>
          <w:sz w:val="32"/>
          <w:szCs w:val="32"/>
          <w:lang w:val="en-US" w:eastAsia="zh-CN"/>
        </w:rPr>
        <w:t>阶段</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一次性</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项目绩效分析。</w:t>
      </w:r>
      <w:r>
        <w:rPr>
          <w:rFonts w:hint="default" w:ascii="Times New Roman" w:hAnsi="Times New Roman" w:eastAsia="仿宋_GB2312" w:cs="Times New Roman"/>
          <w:sz w:val="32"/>
          <w:szCs w:val="32"/>
          <w:lang w:val="zh-CN" w:eastAsia="zh-CN"/>
        </w:rPr>
        <w:t>该类项目总数</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zh-CN" w:eastAsia="zh-CN"/>
        </w:rPr>
        <w:t>个，涉及预算总金额</w:t>
      </w:r>
      <w:r>
        <w:rPr>
          <w:rFonts w:hint="eastAsia" w:ascii="Times New Roman" w:hAnsi="Times New Roman" w:eastAsia="仿宋_GB2312" w:cs="Times New Roman"/>
          <w:sz w:val="32"/>
          <w:szCs w:val="32"/>
          <w:lang w:val="en-US" w:eastAsia="zh-CN"/>
        </w:rPr>
        <w:t>40.54</w:t>
      </w:r>
      <w:r>
        <w:rPr>
          <w:rFonts w:hint="default" w:ascii="Times New Roman" w:hAnsi="Times New Roman" w:eastAsia="仿宋_GB2312" w:cs="Times New Roman"/>
          <w:sz w:val="32"/>
          <w:szCs w:val="32"/>
          <w:lang w:val="zh-CN" w:eastAsia="zh-CN"/>
        </w:rPr>
        <w:t>万元，1</w:t>
      </w:r>
      <w:r>
        <w:rPr>
          <w:rFonts w:hint="eastAsia" w:ascii="Times New Roman" w:hAnsi="Times New Roman" w:eastAsia="仿宋_GB2312" w:cs="Times New Roman"/>
          <w:sz w:val="32"/>
          <w:szCs w:val="32"/>
          <w:lang w:val="zh-CN" w:eastAsia="zh-CN"/>
        </w:rPr>
        <w:t>—</w:t>
      </w:r>
      <w:r>
        <w:rPr>
          <w:rFonts w:hint="default" w:ascii="Times New Roman" w:hAnsi="Times New Roman" w:eastAsia="仿宋_GB2312" w:cs="Times New Roman"/>
          <w:sz w:val="32"/>
          <w:szCs w:val="32"/>
          <w:lang w:val="zh-CN" w:eastAsia="zh-CN"/>
        </w:rPr>
        <w:t>1</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zh-CN" w:eastAsia="zh-CN"/>
        </w:rPr>
        <w:t>月预算执行总体进度为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zh-CN" w:eastAsia="zh-CN"/>
        </w:rPr>
        <w:t>%，其中：</w:t>
      </w:r>
      <w:r>
        <w:rPr>
          <w:rFonts w:hint="eastAsia" w:ascii="Times New Roman" w:hAnsi="Times New Roman" w:eastAsia="仿宋_GB2312" w:cs="Times New Roman"/>
          <w:sz w:val="32"/>
          <w:szCs w:val="32"/>
          <w:lang w:val="zh-CN" w:eastAsia="zh-CN"/>
        </w:rPr>
        <w:t>没有</w:t>
      </w:r>
      <w:r>
        <w:rPr>
          <w:rFonts w:hint="default" w:ascii="Times New Roman" w:hAnsi="Times New Roman" w:eastAsia="仿宋_GB2312" w:cs="Times New Roman"/>
          <w:sz w:val="32"/>
          <w:szCs w:val="32"/>
          <w:lang w:val="zh-CN" w:eastAsia="zh-CN"/>
        </w:rPr>
        <w:t>预算结余率大于</w:t>
      </w: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lang w:val="zh-CN" w:eastAsia="zh-CN"/>
        </w:rPr>
        <w:t>的项目共计。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eastAsia" w:ascii="Times New Roman" w:hAnsi="Times New Roman" w:eastAsia="仿宋_GB2312" w:cs="Times New Roman"/>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1.</w:t>
      </w:r>
      <w:r>
        <w:rPr>
          <w:rFonts w:hint="eastAsia" w:ascii="楷体_GB2312" w:hAnsi="楷体_GB2312" w:eastAsia="楷体_GB2312" w:cs="楷体_GB2312"/>
          <w:color w:val="000000"/>
          <w:kern w:val="0"/>
          <w:sz w:val="32"/>
          <w:szCs w:val="32"/>
          <w:highlight w:val="none"/>
          <w:shd w:val="clear" w:color="auto" w:fill="FFFFFF"/>
          <w:lang w:val="zh-CN"/>
        </w:rPr>
        <w:t>项目决策。</w:t>
      </w:r>
      <w:r>
        <w:rPr>
          <w:rFonts w:hint="eastAsia" w:ascii="Times New Roman" w:hAnsi="Times New Roman" w:eastAsia="仿宋_GB2312" w:cs="Times New Roman"/>
          <w:sz w:val="32"/>
          <w:szCs w:val="32"/>
          <w:lang w:val="zh-CN" w:eastAsia="zh-CN"/>
        </w:rPr>
        <w:t>各科室在上一年</w:t>
      </w:r>
      <w:r>
        <w:rPr>
          <w:rFonts w:hint="eastAsia" w:ascii="Times New Roman" w:hAnsi="Times New Roman" w:eastAsia="仿宋_GB2312" w:cs="Times New Roman"/>
          <w:sz w:val="32"/>
          <w:szCs w:val="32"/>
          <w:lang w:val="en-US" w:eastAsia="zh-CN"/>
        </w:rPr>
        <w:t>10月份上报第二年的项目，局党组</w:t>
      </w:r>
      <w:r>
        <w:rPr>
          <w:rFonts w:hint="eastAsia" w:ascii="Times New Roman" w:hAnsi="Times New Roman" w:eastAsia="仿宋_GB2312" w:cs="Times New Roman"/>
          <w:sz w:val="32"/>
          <w:szCs w:val="32"/>
          <w:lang w:val="zh-CN" w:eastAsia="zh-CN"/>
        </w:rPr>
        <w:t>对每个项目进行了研判，各项工作任务决策依据充足。</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eastAsia" w:ascii="仿宋_GB2312" w:hAnsi="仿宋_GB2312" w:eastAsia="仿宋_GB2312" w:cs="仿宋_GB2312"/>
          <w:sz w:val="32"/>
          <w:szCs w:val="32"/>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2.项目执行</w:t>
      </w:r>
      <w:r>
        <w:rPr>
          <w:rFonts w:hint="eastAsia" w:ascii="楷体_GB2312" w:hAnsi="楷体_GB2312" w:eastAsia="楷体_GB2312" w:cs="楷体_GB2312"/>
          <w:color w:val="000000"/>
          <w:kern w:val="0"/>
          <w:sz w:val="32"/>
          <w:szCs w:val="32"/>
          <w:highlight w:val="none"/>
          <w:shd w:val="clear" w:color="auto" w:fill="FFFFFF"/>
          <w:lang w:val="zh-CN"/>
        </w:rPr>
        <w:t>。</w:t>
      </w:r>
      <w:r>
        <w:rPr>
          <w:rFonts w:hint="eastAsia" w:ascii="仿宋_GB2312" w:hAnsi="仿宋_GB2312" w:eastAsia="仿宋_GB2312" w:cs="仿宋_GB2312"/>
          <w:color w:val="000000"/>
          <w:kern w:val="0"/>
          <w:sz w:val="32"/>
          <w:szCs w:val="32"/>
          <w:highlight w:val="none"/>
          <w:shd w:val="clear" w:color="auto" w:fill="FFFFFF"/>
          <w:lang w:val="zh-CN"/>
        </w:rPr>
        <w:t>经审批的项目，</w:t>
      </w:r>
      <w:r>
        <w:rPr>
          <w:rFonts w:hint="eastAsia" w:ascii="仿宋_GB2312" w:hAnsi="仿宋_GB2312" w:eastAsia="仿宋_GB2312" w:cs="仿宋_GB2312"/>
          <w:sz w:val="32"/>
          <w:szCs w:val="32"/>
          <w:lang w:val="zh-CN" w:eastAsia="zh-CN"/>
        </w:rPr>
        <w:t>各项目均做到有组织、有落实、有监督、有审核，各项目负责人均按程序在规定时间节点内完成了项目的执行。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eastAsia="zh-CN"/>
        </w:rPr>
      </w:pPr>
      <w:r>
        <w:rPr>
          <w:rFonts w:hint="eastAsia" w:ascii="楷体_GB2312" w:hAnsi="楷体_GB2312" w:eastAsia="楷体_GB2312" w:cs="楷体_GB2312"/>
          <w:color w:val="000000"/>
          <w:kern w:val="0"/>
          <w:sz w:val="32"/>
          <w:szCs w:val="32"/>
          <w:highlight w:val="none"/>
          <w:shd w:val="clear" w:color="auto" w:fill="FFFFFF"/>
          <w:lang w:val="en-US" w:eastAsia="zh-CN"/>
        </w:rPr>
        <w:t>3.</w:t>
      </w:r>
      <w:r>
        <w:rPr>
          <w:rFonts w:hint="eastAsia" w:ascii="楷体_GB2312" w:hAnsi="楷体_GB2312" w:eastAsia="楷体_GB2312" w:cs="楷体_GB2312"/>
          <w:color w:val="000000"/>
          <w:kern w:val="0"/>
          <w:sz w:val="32"/>
          <w:szCs w:val="32"/>
          <w:highlight w:val="none"/>
          <w:shd w:val="clear" w:color="auto" w:fill="FFFFFF"/>
          <w:lang w:val="zh-CN"/>
        </w:rPr>
        <w:t>目标实现。</w:t>
      </w:r>
      <w:r>
        <w:rPr>
          <w:rFonts w:hint="eastAsia" w:ascii="仿宋_GB2312" w:hAnsi="仿宋_GB2312" w:eastAsia="仿宋_GB2312" w:cs="仿宋_GB2312"/>
          <w:color w:val="000000"/>
          <w:kern w:val="0"/>
          <w:sz w:val="32"/>
          <w:szCs w:val="32"/>
          <w:highlight w:val="none"/>
          <w:shd w:val="clear" w:color="auto" w:fill="FFFFFF"/>
          <w:lang w:val="en-US" w:eastAsia="zh-CN"/>
        </w:rPr>
        <w:t>2023年，</w:t>
      </w:r>
      <w:r>
        <w:rPr>
          <w:rFonts w:hint="eastAsia" w:ascii="仿宋_GB2312" w:hAnsi="仿宋_GB2312" w:eastAsia="仿宋_GB2312" w:cs="仿宋_GB2312"/>
          <w:color w:val="000000"/>
          <w:kern w:val="0"/>
          <w:sz w:val="32"/>
          <w:szCs w:val="32"/>
          <w:highlight w:val="none"/>
          <w:shd w:val="clear" w:color="auto" w:fill="FFFFFF"/>
          <w:lang w:val="zh-CN" w:eastAsia="zh-CN"/>
        </w:rPr>
        <w:t>所有项目均按计划执行，实现了年初制定的目标任务。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default" w:ascii="Times New Roman" w:hAnsi="Times New Roman" w:eastAsia="楷体_GB2312" w:cs="Times New Roman"/>
          <w:b/>
          <w:bCs/>
          <w:color w:val="000000"/>
          <w:kern w:val="0"/>
          <w:sz w:val="32"/>
          <w:szCs w:val="32"/>
          <w:highlight w:val="none"/>
          <w:shd w:val="clear" w:color="auto" w:fill="FFFFFF"/>
          <w:lang w:val="zh-CN" w:eastAsia="zh-CN"/>
        </w:rPr>
        <w:t>重点领域</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r>
        <w:rPr>
          <w:rFonts w:hint="default" w:ascii="Times New Roman" w:hAnsi="Times New Roman" w:eastAsia="楷体_GB2312" w:cs="Times New Roman"/>
          <w:b/>
          <w:bCs/>
          <w:color w:val="000000"/>
          <w:kern w:val="0"/>
          <w:sz w:val="32"/>
          <w:szCs w:val="32"/>
          <w:highlight w:val="none"/>
          <w:shd w:val="clear" w:color="auto" w:fill="FFFFFF"/>
          <w:lang w:val="zh-CN"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0" w:firstLineChars="200"/>
        <w:contextualSpacing/>
        <w:jc w:val="left"/>
        <w:textAlignment w:val="auto"/>
        <w:outlineLvl w:val="9"/>
        <w:rPr>
          <w:rFonts w:hint="eastAsia" w:ascii="仿宋_GB2312" w:hAnsi="仿宋_GB2312" w:eastAsia="仿宋_GB2312" w:cs="仿宋_GB2312"/>
          <w:color w:val="000000"/>
          <w:kern w:val="0"/>
          <w:sz w:val="32"/>
          <w:szCs w:val="32"/>
          <w:highlight w:val="none"/>
          <w:shd w:val="clear" w:color="auto" w:fill="FFFFFF"/>
          <w:lang w:val="zh-CN" w:eastAsia="zh-CN"/>
        </w:rPr>
      </w:pPr>
      <w:r>
        <w:rPr>
          <w:rFonts w:hint="eastAsia" w:ascii="仿宋_GB2312" w:hAnsi="仿宋_GB2312" w:eastAsia="仿宋_GB2312" w:cs="仿宋_GB2312"/>
          <w:color w:val="000000"/>
          <w:kern w:val="0"/>
          <w:sz w:val="32"/>
          <w:szCs w:val="32"/>
          <w:highlight w:val="none"/>
          <w:shd w:val="clear" w:color="auto" w:fill="FFFFFF"/>
          <w:lang w:val="zh-CN" w:eastAsia="zh-CN"/>
        </w:rPr>
        <w:t>本部门不涉及。</w:t>
      </w:r>
    </w:p>
    <w:p>
      <w:pPr>
        <w:keepNext w:val="0"/>
        <w:keepLines w:val="0"/>
        <w:pageBreakBefore w:val="0"/>
        <w:kinsoku/>
        <w:wordWrap/>
        <w:overflowPunct/>
        <w:topLinePunct w:val="0"/>
        <w:bidi w:val="0"/>
        <w:spacing w:line="576" w:lineRule="exact"/>
        <w:ind w:left="0" w:leftChars="0"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（四）绩效结果应用情况</w:t>
      </w:r>
      <w:r>
        <w:rPr>
          <w:rFonts w:hint="eastAsia" w:ascii="Times New Roman" w:hAnsi="Times New Roman" w:eastAsia="楷体_GB2312" w:cs="Times New Roman"/>
          <w:b/>
          <w:bCs/>
          <w:color w:val="000000"/>
          <w:kern w:val="0"/>
          <w:sz w:val="32"/>
          <w:szCs w:val="32"/>
          <w:highlight w:val="none"/>
          <w:shd w:val="clear" w:color="auto" w:fill="FFFFFF"/>
          <w:lang w:val="zh-CN" w:eastAsia="zh-CN"/>
        </w:rPr>
        <w:t>。</w:t>
      </w:r>
    </w:p>
    <w:p>
      <w:pPr>
        <w:keepNext w:val="0"/>
        <w:keepLines w:val="0"/>
        <w:pageBreakBefore w:val="0"/>
        <w:kinsoku/>
        <w:wordWrap/>
        <w:overflowPunct/>
        <w:topLinePunct w:val="0"/>
        <w:bidi w:val="0"/>
        <w:spacing w:line="576" w:lineRule="exact"/>
        <w:ind w:left="0" w:leftChars="0"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1.内部应用。</w:t>
      </w:r>
      <w:r>
        <w:rPr>
          <w:rFonts w:hint="eastAsia" w:ascii="仿宋_GB2312" w:hAnsi="仿宋_GB2312" w:eastAsia="仿宋_GB2312" w:cs="仿宋_GB2312"/>
          <w:sz w:val="32"/>
          <w:lang w:eastAsia="zh-CN"/>
        </w:rPr>
        <w:t>根据</w:t>
      </w:r>
      <w:r>
        <w:rPr>
          <w:rFonts w:hint="eastAsia" w:ascii="仿宋_GB2312" w:hAnsi="仿宋_GB2312" w:eastAsia="仿宋_GB2312" w:cs="仿宋_GB2312"/>
          <w:sz w:val="32"/>
        </w:rPr>
        <w:t>《关于做好预算绩效管理考核工作的通知》，将内设机构绩效自评工作纳入考核体系，部门内部绩效结果与预算挂钩得到有效应用。</w:t>
      </w:r>
    </w:p>
    <w:p>
      <w:pPr>
        <w:keepNext w:val="0"/>
        <w:keepLines w:val="0"/>
        <w:pageBreakBefore w:val="0"/>
        <w:kinsoku/>
        <w:wordWrap/>
        <w:overflowPunct/>
        <w:topLinePunct w:val="0"/>
        <w:bidi w:val="0"/>
        <w:spacing w:line="576" w:lineRule="exact"/>
        <w:ind w:left="0" w:leftChars="0"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2.公开情况。202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年部门预算及绩效目标，于202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年3月在市政府网站予以公开。202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年决算还未批复，待批复后将按照有关要求按时予以公开。</w:t>
      </w:r>
    </w:p>
    <w:p>
      <w:pPr>
        <w:keepNext w:val="0"/>
        <w:keepLines w:val="0"/>
        <w:pageBreakBefore w:val="0"/>
        <w:kinsoku/>
        <w:wordWrap/>
        <w:overflowPunct/>
        <w:topLinePunct w:val="0"/>
        <w:bidi w:val="0"/>
        <w:spacing w:line="576" w:lineRule="exact"/>
        <w:ind w:left="0" w:leftChars="0" w:firstLine="640" w:firstLineChars="200"/>
        <w:textAlignment w:val="auto"/>
        <w:rPr>
          <w:rFonts w:hint="default" w:ascii="仿宋_GB2312" w:hAnsi="Times New Roman" w:eastAsia="仿宋_GB2312" w:cs="Times New Roman"/>
          <w:b w:val="0"/>
          <w:bCs w:val="0"/>
          <w:kern w:val="2"/>
          <w:sz w:val="32"/>
          <w:szCs w:val="32"/>
          <w:highlight w:val="none"/>
          <w:lang w:val="en-US" w:eastAsia="zh-CN" w:bidi="ar-SA"/>
        </w:rPr>
      </w:pPr>
      <w:r>
        <w:rPr>
          <w:rFonts w:hint="eastAsia" w:ascii="仿宋_GB2312" w:hAnsi="仿宋_GB2312" w:eastAsia="仿宋_GB2312" w:cs="仿宋_GB2312"/>
          <w:sz w:val="32"/>
        </w:rPr>
        <w:t>3.整改反馈。</w:t>
      </w: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年度未收到绩效目标核查、绩效监控核查和重点绩效评价相关问题反馈。</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ascii="黑体" w:hAnsi="宋体" w:eastAsia="黑体" w:cs="宋体"/>
          <w:b w:val="0"/>
          <w:bCs w:val="0"/>
          <w:color w:val="000000"/>
          <w:kern w:val="0"/>
          <w:sz w:val="32"/>
          <w:szCs w:val="32"/>
          <w:highlight w:val="none"/>
          <w:shd w:val="clear" w:color="auto" w:fill="FFFFFF"/>
        </w:rPr>
      </w:pPr>
      <w:r>
        <w:rPr>
          <w:rFonts w:hint="eastAsia" w:ascii="黑体" w:hAnsi="宋体" w:eastAsia="黑体" w:cs="宋体"/>
          <w:b w:val="0"/>
          <w:bCs w:val="0"/>
          <w:color w:val="000000"/>
          <w:kern w:val="0"/>
          <w:sz w:val="32"/>
          <w:szCs w:val="32"/>
          <w:highlight w:val="none"/>
          <w:shd w:val="clear" w:color="auto" w:fill="FFFFFF"/>
        </w:rPr>
        <w:t>四、评价结论及建议</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（一）评价结论</w:t>
      </w:r>
    </w:p>
    <w:p>
      <w:pPr>
        <w:keepNext w:val="0"/>
        <w:keepLines w:val="0"/>
        <w:pageBreakBefore w:val="0"/>
        <w:kinsoku/>
        <w:wordWrap/>
        <w:overflowPunct/>
        <w:topLinePunct w:val="0"/>
        <w:bidi w:val="0"/>
        <w:spacing w:line="576" w:lineRule="exact"/>
        <w:ind w:left="0" w:leftChars="0" w:firstLine="640" w:firstLineChars="200"/>
        <w:textAlignment w:val="auto"/>
        <w:rPr>
          <w:rFonts w:hint="eastAsia" w:eastAsia="仿宋_GB2312"/>
          <w:sz w:val="32"/>
          <w:lang w:val="zh-CN"/>
        </w:rPr>
      </w:pPr>
      <w:r>
        <w:rPr>
          <w:rFonts w:hint="eastAsia" w:ascii="Times New Roman" w:hAnsi="Times New Roman" w:eastAsia="仿宋_GB2312" w:cs="Times New Roman"/>
          <w:kern w:val="2"/>
          <w:sz w:val="32"/>
          <w:szCs w:val="24"/>
          <w:lang w:val="zh-CN" w:eastAsia="zh-CN" w:bidi="ar-SA"/>
        </w:rPr>
        <w:t>市金融工作局</w:t>
      </w:r>
      <w:r>
        <w:rPr>
          <w:rFonts w:hint="eastAsia" w:ascii="Times New Roman" w:hAnsi="Times New Roman" w:eastAsia="仿宋_GB2312" w:cs="Times New Roman"/>
          <w:kern w:val="2"/>
          <w:sz w:val="32"/>
          <w:szCs w:val="24"/>
          <w:lang w:val="en-US" w:eastAsia="zh-CN" w:bidi="ar-SA"/>
        </w:rPr>
        <w:t>202</w:t>
      </w:r>
      <w:r>
        <w:rPr>
          <w:rFonts w:hint="eastAsia" w:eastAsia="仿宋_GB2312" w:cs="Times New Roman"/>
          <w:kern w:val="2"/>
          <w:sz w:val="32"/>
          <w:szCs w:val="24"/>
          <w:lang w:val="en-US" w:eastAsia="zh-CN" w:bidi="ar-SA"/>
        </w:rPr>
        <w:t>3</w:t>
      </w:r>
      <w:r>
        <w:rPr>
          <w:rFonts w:hint="eastAsia" w:ascii="Times New Roman" w:hAnsi="Times New Roman" w:eastAsia="仿宋_GB2312" w:cs="Times New Roman"/>
          <w:kern w:val="2"/>
          <w:sz w:val="32"/>
          <w:szCs w:val="24"/>
          <w:lang w:val="en-US" w:eastAsia="zh-CN" w:bidi="ar-SA"/>
        </w:rPr>
        <w:t>年绩效自评综合得分</w:t>
      </w:r>
      <w:r>
        <w:rPr>
          <w:rFonts w:hint="eastAsia" w:eastAsia="仿宋_GB2312" w:cs="Times New Roman"/>
          <w:kern w:val="2"/>
          <w:sz w:val="32"/>
          <w:szCs w:val="24"/>
          <w:lang w:val="en-US" w:eastAsia="zh-CN" w:bidi="ar-SA"/>
        </w:rPr>
        <w:t>100分。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存在问题</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textAlignment w:val="auto"/>
        <w:rPr>
          <w:rFonts w:hint="eastAsia" w:eastAsia="仿宋_GB2312"/>
          <w:sz w:val="32"/>
        </w:rPr>
      </w:pPr>
      <w:r>
        <w:rPr>
          <w:rFonts w:hint="eastAsia" w:eastAsia="仿宋_GB2312"/>
          <w:sz w:val="32"/>
          <w:lang w:val="en-US" w:eastAsia="zh-CN"/>
        </w:rPr>
        <w:t>1.</w:t>
      </w:r>
      <w:r>
        <w:rPr>
          <w:rFonts w:hint="eastAsia" w:eastAsia="仿宋_GB2312"/>
          <w:sz w:val="32"/>
        </w:rPr>
        <w:t>预算绩效目标设置不够细化。</w:t>
      </w:r>
    </w:p>
    <w:p>
      <w:pPr>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left="0" w:leftChars="0" w:firstLine="640" w:firstLineChars="200"/>
        <w:jc w:val="both"/>
        <w:textAlignment w:val="auto"/>
        <w:rPr>
          <w:rFonts w:hint="eastAsia" w:ascii="Times New Roman" w:hAnsi="Times New Roman" w:eastAsia="仿宋_GB2312" w:cs="Times New Roman"/>
          <w:kern w:val="2"/>
          <w:sz w:val="32"/>
          <w:szCs w:val="20"/>
          <w:lang w:val="en-US" w:eastAsia="zh-CN" w:bidi="ar-SA"/>
        </w:rPr>
      </w:pPr>
      <w:r>
        <w:rPr>
          <w:rFonts w:hint="eastAsia" w:ascii="Times New Roman" w:hAnsi="Times New Roman" w:eastAsia="仿宋_GB2312" w:cs="Times New Roman"/>
          <w:kern w:val="2"/>
          <w:sz w:val="32"/>
          <w:szCs w:val="20"/>
          <w:lang w:val="en-US" w:eastAsia="zh-CN" w:bidi="ar-SA"/>
        </w:rPr>
        <w:t>2.项目资金年初预算不够准确，在年中有追加预算的情况。</w:t>
      </w:r>
    </w:p>
    <w:p>
      <w:pPr>
        <w:keepNext w:val="0"/>
        <w:keepLines w:val="0"/>
        <w:pageBreakBefore w:val="0"/>
        <w:widowControl w:val="0"/>
        <w:numPr>
          <w:ilvl w:val="0"/>
          <w:numId w:val="9"/>
        </w:numPr>
        <w:kinsoku/>
        <w:wordWrap/>
        <w:overflowPunct/>
        <w:topLinePunct w:val="0"/>
        <w:autoSpaceDE/>
        <w:autoSpaceDN/>
        <w:bidi w:val="0"/>
        <w:adjustRightInd w:val="0"/>
        <w:snapToGrid w:val="0"/>
        <w:spacing w:line="576" w:lineRule="exact"/>
        <w:ind w:left="0" w:leftChars="0" w:firstLine="640" w:firstLineChars="200"/>
        <w:contextualSpacing/>
        <w:jc w:val="left"/>
        <w:textAlignment w:val="auto"/>
        <w:rPr>
          <w:rFonts w:hint="eastAsia" w:ascii="楷体_GB2312" w:hAnsi="楷体_GB2312" w:eastAsia="楷体_GB2312" w:cs="楷体_GB2312"/>
          <w:b w:val="0"/>
          <w:bCs w:val="0"/>
          <w:color w:val="000000"/>
          <w:kern w:val="0"/>
          <w:sz w:val="32"/>
          <w:szCs w:val="32"/>
          <w:highlight w:val="none"/>
          <w:shd w:val="clear" w:color="auto" w:fill="FFFFFF"/>
          <w:lang w:val="zh-CN"/>
        </w:rPr>
      </w:pPr>
      <w:r>
        <w:rPr>
          <w:rFonts w:hint="eastAsia" w:ascii="楷体_GB2312" w:hAnsi="楷体_GB2312" w:eastAsia="楷体_GB2312" w:cs="楷体_GB2312"/>
          <w:b w:val="0"/>
          <w:bCs w:val="0"/>
          <w:color w:val="000000"/>
          <w:kern w:val="0"/>
          <w:sz w:val="32"/>
          <w:szCs w:val="32"/>
          <w:highlight w:val="none"/>
          <w:shd w:val="clear" w:color="auto" w:fill="FFFFFF"/>
          <w:lang w:val="zh-CN"/>
        </w:rPr>
        <w:t>改进建议</w:t>
      </w:r>
    </w:p>
    <w:p>
      <w:pPr>
        <w:keepNext w:val="0"/>
        <w:keepLines w:val="0"/>
        <w:pageBreakBefore w:val="0"/>
        <w:kinsoku/>
        <w:wordWrap/>
        <w:overflowPunct/>
        <w:topLinePunct w:val="0"/>
        <w:bidi w:val="0"/>
        <w:adjustRightInd w:val="0"/>
        <w:snapToGrid w:val="0"/>
        <w:spacing w:line="576" w:lineRule="exact"/>
        <w:ind w:left="0" w:leftChars="0" w:firstLine="640" w:firstLineChars="200"/>
        <w:textAlignment w:val="auto"/>
        <w:rPr>
          <w:rFonts w:eastAsia="仿宋_GB2312"/>
          <w:sz w:val="32"/>
        </w:rPr>
      </w:pPr>
      <w:r>
        <w:rPr>
          <w:rFonts w:hint="eastAsia" w:eastAsia="仿宋_GB2312"/>
          <w:sz w:val="32"/>
        </w:rPr>
        <w:t>1.细化预算编制工作。进一步加强内部预算管理意识，提高预算编制的科学性、合理性、严谨性和可控性。</w:t>
      </w:r>
    </w:p>
    <w:p>
      <w:pPr>
        <w:keepNext w:val="0"/>
        <w:keepLines w:val="0"/>
        <w:pageBreakBefore w:val="0"/>
        <w:kinsoku/>
        <w:wordWrap/>
        <w:overflowPunct/>
        <w:topLinePunct w:val="0"/>
        <w:bidi w:val="0"/>
        <w:adjustRightInd w:val="0"/>
        <w:snapToGrid w:val="0"/>
        <w:spacing w:line="576" w:lineRule="exact"/>
        <w:ind w:left="0" w:leftChars="0" w:firstLine="640" w:firstLineChars="200"/>
        <w:textAlignment w:val="auto"/>
        <w:rPr>
          <w:rFonts w:eastAsia="仿宋_GB2312"/>
          <w:sz w:val="32"/>
        </w:rPr>
      </w:pPr>
      <w:r>
        <w:rPr>
          <w:rFonts w:hint="eastAsia" w:eastAsia="仿宋_GB2312"/>
          <w:sz w:val="32"/>
        </w:rPr>
        <w:t>2.加强预算执行管理。对于临时追加的相关工作所需费用，严格按照程序，逐级申报报批，有效降低预算控制率。</w:t>
      </w:r>
    </w:p>
    <w:p>
      <w:pPr>
        <w:keepNext w:val="0"/>
        <w:keepLines w:val="0"/>
        <w:pageBreakBefore w:val="0"/>
        <w:kinsoku/>
        <w:wordWrap/>
        <w:overflowPunct/>
        <w:topLinePunct w:val="0"/>
        <w:bidi w:val="0"/>
        <w:spacing w:line="576" w:lineRule="exact"/>
        <w:ind w:left="0" w:leftChars="0" w:firstLine="640" w:firstLineChars="200"/>
        <w:textAlignment w:val="auto"/>
        <w:rPr>
          <w:rFonts w:hint="eastAsia" w:eastAsia="仿宋_GB2312"/>
          <w:sz w:val="32"/>
        </w:rPr>
      </w:pPr>
      <w:r>
        <w:rPr>
          <w:rFonts w:hint="eastAsia" w:eastAsia="仿宋_GB2312"/>
          <w:sz w:val="32"/>
        </w:rPr>
        <w:t>3.保障预算执行进度。加快项目实施进度的推进，加强项目开展进度的跟踪，及时开展项目绩效评价，确保项目绩效目标的完成，发挥资金的使用效益</w:t>
      </w:r>
      <w:r>
        <w:rPr>
          <w:rFonts w:hint="eastAsia" w:eastAsia="仿宋_GB2312"/>
          <w:sz w:val="32"/>
          <w:lang w:eastAsia="zh-CN"/>
        </w:rPr>
        <w:t>，</w:t>
      </w:r>
      <w:r>
        <w:rPr>
          <w:rFonts w:hint="eastAsia" w:eastAsia="仿宋_GB2312"/>
          <w:sz w:val="32"/>
        </w:rPr>
        <w:t>提高预算完成率。</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(办公用房维修改造与办公家具购置)</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10"/>
        </w:numPr>
        <w:kinsoku/>
        <w:wordWrap/>
        <w:overflowPunct/>
        <w:topLinePunct w:val="0"/>
        <w:autoSpaceDE/>
        <w:autoSpaceDN/>
        <w:bidi w:val="0"/>
        <w:adjustRightInd w:val="0"/>
        <w:snapToGrid w:val="0"/>
        <w:spacing w:line="576" w:lineRule="exact"/>
        <w:ind w:firstLine="640" w:firstLineChars="200"/>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办公用房维修改造与办公家具购置项目主管部门为局办公室，在该项目管理中的职能：完成局新搬迁办公用房维修改造与办公家具购置，保证办公室顺利搬迁。</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该处办公用房</w:t>
      </w:r>
      <w:r>
        <w:rPr>
          <w:rFonts w:hint="eastAsia" w:ascii="仿宋_GB2312" w:hAnsi="仿宋_GB2312" w:eastAsia="仿宋_GB2312" w:cs="仿宋_GB2312"/>
          <w:color w:val="auto"/>
          <w:kern w:val="2"/>
          <w:sz w:val="32"/>
          <w:szCs w:val="32"/>
          <w:lang w:val="en-US" w:eastAsia="zh-CN" w:bidi="ar-SA"/>
        </w:rPr>
        <w:t>建修于2001年，存在办公室面积普遍超标、</w:t>
      </w:r>
      <w:r>
        <w:rPr>
          <w:rFonts w:hint="default" w:ascii="仿宋_GB2312" w:hAnsi="仿宋_GB2312" w:eastAsia="仿宋_GB2312" w:cs="仿宋_GB2312"/>
          <w:color w:val="auto"/>
          <w:kern w:val="2"/>
          <w:sz w:val="32"/>
          <w:szCs w:val="32"/>
          <w:lang w:val="en-US" w:eastAsia="zh-CN" w:bidi="ar-SA"/>
        </w:rPr>
        <w:t>水电线路</w:t>
      </w:r>
      <w:r>
        <w:rPr>
          <w:rFonts w:hint="eastAsia" w:ascii="仿宋_GB2312" w:hAnsi="仿宋_GB2312" w:eastAsia="仿宋_GB2312" w:cs="仿宋_GB2312"/>
          <w:color w:val="auto"/>
          <w:kern w:val="2"/>
          <w:sz w:val="32"/>
          <w:szCs w:val="32"/>
          <w:lang w:val="en-US" w:eastAsia="zh-CN" w:bidi="ar-SA"/>
        </w:rPr>
        <w:t>不规范</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厕所破旧、</w:t>
      </w:r>
      <w:r>
        <w:rPr>
          <w:rFonts w:hint="default" w:ascii="仿宋_GB2312" w:hAnsi="仿宋_GB2312" w:eastAsia="仿宋_GB2312" w:cs="仿宋_GB2312"/>
          <w:color w:val="auto"/>
          <w:kern w:val="2"/>
          <w:sz w:val="32"/>
          <w:szCs w:val="32"/>
          <w:lang w:val="en-US" w:eastAsia="zh-CN" w:bidi="ar-SA"/>
        </w:rPr>
        <w:t>门窗和墙面损坏等问题，需进行维修改造。</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项目预算资金30万元，资金用于</w:t>
      </w:r>
      <w:r>
        <w:rPr>
          <w:rFonts w:hint="eastAsia" w:ascii="仿宋_GB2312" w:hAnsi="仿宋_GB2312" w:eastAsia="仿宋_GB2312" w:cs="仿宋_GB2312"/>
          <w:color w:val="auto"/>
          <w:kern w:val="2"/>
          <w:sz w:val="32"/>
          <w:szCs w:val="32"/>
          <w:lang w:val="zh-CN" w:eastAsia="zh-CN" w:bidi="ar-SA"/>
        </w:rPr>
        <w:t>办公用房维修改造与</w:t>
      </w:r>
      <w:r>
        <w:rPr>
          <w:rFonts w:hint="eastAsia" w:ascii="仿宋_GB2312" w:hAnsi="仿宋_GB2312" w:eastAsia="仿宋_GB2312" w:cs="仿宋_GB2312"/>
          <w:color w:val="auto"/>
          <w:kern w:val="2"/>
          <w:sz w:val="32"/>
          <w:szCs w:val="32"/>
          <w:lang w:val="en-US" w:eastAsia="zh-CN" w:bidi="ar-SA"/>
        </w:rPr>
        <w:t>办公家具购置。</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pPr w:leftFromText="180" w:rightFromText="180" w:vertAnchor="text" w:horzAnchor="page" w:tblpX="1873" w:tblpY="573"/>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95"/>
        <w:gridCol w:w="1326"/>
        <w:gridCol w:w="3220"/>
        <w:gridCol w:w="726"/>
        <w:gridCol w:w="1178"/>
        <w:gridCol w:w="8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0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搬用用房改造房间数量</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办公用房维修改造是否符合市级行政事业单位办公用房维修改造要求</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办公用房维修改造时限</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维修改造和办公家具采购符合规定</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严格按照市委</w:t>
            </w:r>
            <w:bookmarkStart w:id="76" w:name="_GoBack"/>
            <w:bookmarkEnd w:id="76"/>
            <w:r>
              <w:rPr>
                <w:rFonts w:hint="eastAsia" w:ascii="宋体" w:hAnsi="宋体" w:cs="宋体"/>
                <w:i w:val="0"/>
                <w:iCs w:val="0"/>
                <w:color w:val="000000"/>
                <w:kern w:val="0"/>
                <w:sz w:val="18"/>
                <w:szCs w:val="18"/>
                <w:u w:val="none"/>
                <w:lang w:val="en-US" w:eastAsia="zh-CN" w:bidi="ar"/>
              </w:rPr>
              <w:t>市</w:t>
            </w:r>
            <w:r>
              <w:rPr>
                <w:rFonts w:ascii="宋体" w:hAnsi="宋体" w:eastAsia="宋体" w:cs="宋体"/>
                <w:i w:val="0"/>
                <w:iCs w:val="0"/>
                <w:color w:val="000000"/>
                <w:kern w:val="0"/>
                <w:sz w:val="18"/>
                <w:szCs w:val="18"/>
                <w:u w:val="none"/>
                <w:lang w:val="en-US" w:eastAsia="zh-CN" w:bidi="ar"/>
              </w:rPr>
              <w:t>政府“过紧日子”要求，杜绝国有资产浪费</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维修改造材料是否符合国家标准</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办公家具坚持“物随人走”，应搬尽搬，不造成浪费</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0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面向小微企业采购办公家具，企业对营商环境满意度</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单位干部职工对办公用房维修改造和家具满意度</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0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77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8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维修改造、办公家具和设备购买总费用</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9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5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r>
    </w:tbl>
    <w:p>
      <w:pPr>
        <w:pStyle w:val="27"/>
        <w:rPr>
          <w:rFonts w:hint="eastAsia"/>
          <w:lang w:val="zh-CN" w:eastAsia="zh-CN"/>
        </w:rPr>
      </w:pP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0" w:firstLine="642" w:firstLineChars="200"/>
        <w:textAlignment w:val="auto"/>
        <w:outlineLvl w:val="9"/>
        <w:rPr>
          <w:rFonts w:hint="eastAsia" w:eastAsia="仿宋_GB2312"/>
          <w:sz w:val="32"/>
          <w:szCs w:val="32"/>
          <w:lang w:val="zh-CN" w:eastAsia="zh-CN"/>
        </w:rPr>
      </w:pPr>
      <w:r>
        <w:rPr>
          <w:rFonts w:hint="eastAsia" w:ascii="楷体_GB2312" w:hAnsi="宋体" w:eastAsia="楷体_GB2312" w:cs="Times New Roman"/>
          <w:b/>
          <w:color w:val="auto"/>
          <w:sz w:val="32"/>
          <w:szCs w:val="32"/>
          <w:highlight w:val="none"/>
          <w:u w:val="none"/>
          <w:lang w:val="zh-CN"/>
        </w:rPr>
        <w:t>（一）评价目的。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11"/>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预设问题及评价重点。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1.维修改造是否遵循量力而行、勤俭节约、保证安全、节能环保、经济适用的原则，以消除安全隐患，恢复和完善使用功能、降低资源消耗为</w:t>
      </w:r>
      <w:r>
        <w:rPr>
          <w:rFonts w:hint="default" w:ascii="仿宋_GB2312" w:hAnsi="仿宋_GB2312" w:eastAsia="仿宋_GB2312" w:cs="仿宋_GB2312"/>
          <w:color w:val="auto"/>
          <w:kern w:val="2"/>
          <w:sz w:val="32"/>
          <w:szCs w:val="32"/>
          <w:lang w:val="en-US" w:eastAsia="zh-CN" w:bidi="ar-SA"/>
        </w:rPr>
        <w:t>重点</w:t>
      </w:r>
      <w:r>
        <w:rPr>
          <w:rFonts w:hint="eastAsia" w:ascii="仿宋_GB2312" w:hAnsi="仿宋_GB2312" w:eastAsia="仿宋_GB2312" w:cs="仿宋_GB2312"/>
          <w:color w:val="auto"/>
          <w:kern w:val="2"/>
          <w:sz w:val="32"/>
          <w:szCs w:val="32"/>
          <w:lang w:val="en-US" w:eastAsia="zh-CN" w:bidi="ar-SA"/>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2.在维修改造工程中，安装节能照明系统、优化水资源管理、建立垃圾分类系统等可以减少资源的浪费的举措。</w:t>
      </w:r>
    </w:p>
    <w:p>
      <w:pPr>
        <w:keepNext w:val="0"/>
        <w:keepLines w:val="0"/>
        <w:pageBreakBefore w:val="0"/>
        <w:widowControl w:val="0"/>
        <w:numPr>
          <w:ilvl w:val="0"/>
          <w:numId w:val="11"/>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评价选点。</w:t>
      </w:r>
    </w:p>
    <w:p>
      <w:pPr>
        <w:pStyle w:val="5"/>
        <w:keepNext w:val="0"/>
        <w:keepLines w:val="0"/>
        <w:pageBreakBefore w:val="0"/>
        <w:widowControl w:val="0"/>
        <w:numPr>
          <w:ilvl w:val="0"/>
          <w:numId w:val="0"/>
        </w:numPr>
        <w:kinsoku/>
        <w:wordWrap/>
        <w:overflowPunct/>
        <w:topLinePunct w:val="0"/>
        <w:autoSpaceDE/>
        <w:autoSpaceDN/>
        <w:bidi w:val="0"/>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color w:val="auto"/>
          <w:kern w:val="2"/>
          <w:sz w:val="32"/>
          <w:szCs w:val="32"/>
          <w:lang w:val="en-US" w:eastAsia="zh-CN" w:bidi="ar-SA"/>
        </w:rPr>
        <w:t>办公室装修是否符合规定，配套设施是否完善。</w:t>
      </w:r>
    </w:p>
    <w:p>
      <w:pPr>
        <w:keepNext w:val="0"/>
        <w:keepLines w:val="0"/>
        <w:pageBreakBefore w:val="0"/>
        <w:widowControl w:val="0"/>
        <w:numPr>
          <w:ilvl w:val="0"/>
          <w:numId w:val="11"/>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评价方法。</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default" w:ascii="仿宋_GB2312" w:hAnsi="仿宋_GB2312" w:eastAsia="仿宋_GB2312" w:cs="仿宋_GB2312"/>
          <w:color w:val="auto"/>
          <w:kern w:val="2"/>
          <w:sz w:val="32"/>
          <w:szCs w:val="32"/>
          <w:lang w:val="en-US" w:eastAsia="zh-CN" w:bidi="ar-SA"/>
        </w:rPr>
        <w:t>自评采用定量与定性评价相结合的比较法。</w:t>
      </w:r>
    </w:p>
    <w:p>
      <w:pPr>
        <w:keepNext w:val="0"/>
        <w:keepLines w:val="0"/>
        <w:pageBreakBefore w:val="0"/>
        <w:widowControl w:val="0"/>
        <w:numPr>
          <w:ilvl w:val="0"/>
          <w:numId w:val="11"/>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评价组织。</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eastAsia="zh-CN"/>
        </w:rPr>
      </w:pPr>
      <w:r>
        <w:rPr>
          <w:rFonts w:hint="default" w:ascii="仿宋_GB2312" w:hAnsi="仿宋_GB2312" w:eastAsia="仿宋_GB2312" w:cs="仿宋_GB2312"/>
          <w:color w:val="auto"/>
          <w:kern w:val="2"/>
          <w:sz w:val="32"/>
          <w:szCs w:val="32"/>
          <w:lang w:val="en-US" w:eastAsia="zh-CN" w:bidi="ar-SA"/>
        </w:rPr>
        <w:t>我</w:t>
      </w:r>
      <w:r>
        <w:rPr>
          <w:rFonts w:hint="eastAsia" w:ascii="仿宋_GB2312" w:hAnsi="仿宋_GB2312" w:eastAsia="仿宋_GB2312" w:cs="仿宋_GB2312"/>
          <w:color w:val="auto"/>
          <w:kern w:val="2"/>
          <w:sz w:val="32"/>
          <w:szCs w:val="32"/>
          <w:lang w:val="en-US" w:eastAsia="zh-CN" w:bidi="ar-SA"/>
        </w:rPr>
        <w:t>局</w:t>
      </w:r>
      <w:r>
        <w:rPr>
          <w:rFonts w:hint="default" w:ascii="仿宋_GB2312" w:hAnsi="仿宋_GB2312" w:eastAsia="仿宋_GB2312" w:cs="仿宋_GB2312"/>
          <w:color w:val="auto"/>
          <w:kern w:val="2"/>
          <w:sz w:val="32"/>
          <w:szCs w:val="32"/>
          <w:lang w:val="en-US" w:eastAsia="zh-CN" w:bidi="ar-SA"/>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color w:val="auto"/>
          <w:kern w:val="2"/>
          <w:sz w:val="32"/>
          <w:szCs w:val="32"/>
          <w:lang w:val="en-US" w:eastAsia="zh-CN" w:bidi="ar-SA"/>
        </w:rPr>
        <w:t>依托</w:t>
      </w:r>
      <w:r>
        <w:rPr>
          <w:rFonts w:hint="eastAsia" w:eastAsia="仿宋_GB2312"/>
          <w:bCs/>
          <w:kern w:val="0"/>
          <w:sz w:val="32"/>
          <w:szCs w:val="32"/>
          <w:lang w:eastAsia="zh-CN"/>
        </w:rPr>
        <w:t>维修</w:t>
      </w:r>
      <w:r>
        <w:rPr>
          <w:rFonts w:hint="eastAsia" w:eastAsia="仿宋_GB2312"/>
          <w:bCs/>
          <w:kern w:val="0"/>
          <w:sz w:val="32"/>
          <w:szCs w:val="32"/>
        </w:rPr>
        <w:t>改造项目</w:t>
      </w:r>
      <w:r>
        <w:rPr>
          <w:rFonts w:hint="eastAsia" w:eastAsia="仿宋_GB2312"/>
          <w:bCs/>
          <w:kern w:val="0"/>
          <w:sz w:val="32"/>
          <w:szCs w:val="32"/>
          <w:lang w:eastAsia="zh-CN"/>
        </w:rPr>
        <w:t>工作领导小组</w:t>
      </w:r>
      <w:r>
        <w:rPr>
          <w:rFonts w:hint="eastAsia" w:ascii="仿宋_GB2312" w:hAnsi="仿宋_GB2312" w:eastAsia="仿宋_GB2312" w:cs="仿宋_GB2312"/>
          <w:color w:val="auto"/>
          <w:kern w:val="2"/>
          <w:sz w:val="32"/>
          <w:szCs w:val="32"/>
          <w:lang w:val="en-US" w:eastAsia="zh-CN" w:bidi="ar-SA"/>
        </w:rPr>
        <w:t>成员</w:t>
      </w:r>
      <w:r>
        <w:rPr>
          <w:rFonts w:hint="default" w:ascii="仿宋_GB2312" w:hAnsi="仿宋_GB2312" w:eastAsia="仿宋_GB2312" w:cs="仿宋_GB2312"/>
          <w:color w:val="auto"/>
          <w:kern w:val="2"/>
          <w:sz w:val="32"/>
          <w:szCs w:val="32"/>
          <w:lang w:val="en-US" w:eastAsia="zh-CN" w:bidi="ar-SA"/>
        </w:rPr>
        <w:t>组成的绩效评价工作小组，收集整理</w:t>
      </w:r>
      <w:r>
        <w:rPr>
          <w:rFonts w:hint="eastAsia" w:ascii="仿宋_GB2312" w:hAnsi="仿宋_GB2312" w:eastAsia="仿宋_GB2312" w:cs="仿宋_GB2312"/>
          <w:color w:val="auto"/>
          <w:kern w:val="2"/>
          <w:sz w:val="32"/>
          <w:szCs w:val="32"/>
          <w:lang w:val="en-US" w:eastAsia="zh-CN" w:bidi="ar-SA"/>
        </w:rPr>
        <w:t>该项目</w:t>
      </w:r>
      <w:r>
        <w:rPr>
          <w:rFonts w:hint="default" w:ascii="仿宋_GB2312" w:hAnsi="仿宋_GB2312" w:eastAsia="仿宋_GB2312" w:cs="仿宋_GB2312"/>
          <w:color w:val="auto"/>
          <w:kern w:val="2"/>
          <w:sz w:val="32"/>
          <w:szCs w:val="32"/>
          <w:lang w:val="en-US" w:eastAsia="zh-CN" w:bidi="ar-SA"/>
        </w:rPr>
        <w:t>数据，落实项目实施、运行及资金使用情况，并对所有数据材料进行汇总、分析，形成绩效自评报告。</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2" w:firstLineChars="20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eastAsia="仿宋_GB2312"/>
          <w:sz w:val="32"/>
          <w:szCs w:val="32"/>
        </w:rPr>
        <w:t>根据</w:t>
      </w:r>
      <w:r>
        <w:rPr>
          <w:rFonts w:eastAsia="仿宋_GB2312"/>
          <w:sz w:val="32"/>
          <w:szCs w:val="32"/>
        </w:rPr>
        <w:t>市</w:t>
      </w:r>
      <w:r>
        <w:rPr>
          <w:rFonts w:hint="eastAsia" w:eastAsia="仿宋_GB2312"/>
          <w:sz w:val="32"/>
          <w:szCs w:val="32"/>
          <w:lang w:eastAsia="zh-CN"/>
        </w:rPr>
        <w:t>机关事务服务中心</w:t>
      </w:r>
      <w:r>
        <w:rPr>
          <w:rFonts w:hint="eastAsia" w:eastAsia="仿宋_GB2312"/>
          <w:sz w:val="32"/>
          <w:szCs w:val="32"/>
        </w:rPr>
        <w:t>《关于</w:t>
      </w:r>
      <w:r>
        <w:rPr>
          <w:rFonts w:eastAsia="仿宋_GB2312"/>
          <w:sz w:val="32"/>
          <w:szCs w:val="32"/>
        </w:rPr>
        <w:t>办公用房</w:t>
      </w:r>
      <w:r>
        <w:rPr>
          <w:rFonts w:hint="eastAsia" w:eastAsia="仿宋_GB2312"/>
          <w:sz w:val="32"/>
          <w:szCs w:val="32"/>
          <w:lang w:eastAsia="zh-CN"/>
        </w:rPr>
        <w:t>调剂有关事项</w:t>
      </w:r>
      <w:r>
        <w:rPr>
          <w:rFonts w:eastAsia="仿宋_GB2312"/>
          <w:sz w:val="32"/>
          <w:szCs w:val="32"/>
        </w:rPr>
        <w:t>的</w:t>
      </w:r>
      <w:r>
        <w:rPr>
          <w:rFonts w:hint="eastAsia" w:eastAsia="仿宋_GB2312"/>
          <w:sz w:val="32"/>
          <w:szCs w:val="32"/>
          <w:lang w:eastAsia="zh-CN"/>
        </w:rPr>
        <w:t>函</w:t>
      </w:r>
      <w:r>
        <w:rPr>
          <w:rFonts w:hint="eastAsia" w:eastAsia="仿宋_GB2312"/>
          <w:sz w:val="32"/>
          <w:szCs w:val="32"/>
        </w:rPr>
        <w:t>》（广</w:t>
      </w:r>
      <w:r>
        <w:rPr>
          <w:rFonts w:eastAsia="仿宋_GB2312"/>
          <w:sz w:val="32"/>
          <w:szCs w:val="32"/>
        </w:rPr>
        <w:t>机事</w:t>
      </w:r>
      <w:r>
        <w:rPr>
          <w:rFonts w:hint="eastAsia" w:eastAsia="仿宋_GB2312"/>
          <w:sz w:val="32"/>
          <w:szCs w:val="32"/>
          <w:lang w:eastAsia="zh-CN"/>
        </w:rPr>
        <w:t>函</w:t>
      </w:r>
      <w:r>
        <w:rPr>
          <w:rFonts w:hint="eastAsia" w:eastAsia="仿宋_GB2312"/>
          <w:sz w:val="32"/>
          <w:szCs w:val="32"/>
        </w:rPr>
        <w:t>〔202</w:t>
      </w:r>
      <w:r>
        <w:rPr>
          <w:rFonts w:hint="eastAsia" w:eastAsia="仿宋_GB2312"/>
          <w:sz w:val="32"/>
          <w:szCs w:val="32"/>
          <w:lang w:val="en-US" w:eastAsia="zh-CN"/>
        </w:rPr>
        <w:t>2</w:t>
      </w:r>
      <w:r>
        <w:rPr>
          <w:rFonts w:hint="eastAsia" w:eastAsia="仿宋_GB2312"/>
          <w:sz w:val="32"/>
          <w:szCs w:val="32"/>
        </w:rPr>
        <w:t>〕</w:t>
      </w:r>
      <w:r>
        <w:rPr>
          <w:rFonts w:hint="eastAsia" w:eastAsia="仿宋_GB2312"/>
          <w:sz w:val="32"/>
          <w:szCs w:val="32"/>
          <w:lang w:val="en-US" w:eastAsia="zh-CN"/>
        </w:rPr>
        <w:t>41</w:t>
      </w:r>
      <w:r>
        <w:rPr>
          <w:rFonts w:hint="eastAsia" w:eastAsia="仿宋_GB2312"/>
          <w:sz w:val="32"/>
          <w:szCs w:val="32"/>
        </w:rPr>
        <w:t>号）精神，</w:t>
      </w:r>
      <w:r>
        <w:rPr>
          <w:rFonts w:hint="eastAsia" w:eastAsia="仿宋_GB2312"/>
          <w:sz w:val="32"/>
          <w:szCs w:val="32"/>
          <w:lang w:eastAsia="zh-CN"/>
        </w:rPr>
        <w:t>广元市金融工作局</w:t>
      </w:r>
      <w:r>
        <w:rPr>
          <w:rFonts w:eastAsia="仿宋_GB2312"/>
          <w:sz w:val="32"/>
          <w:szCs w:val="32"/>
        </w:rPr>
        <w:t>办公用房调整至市质检大楼</w:t>
      </w:r>
      <w:r>
        <w:rPr>
          <w:rFonts w:hint="eastAsia" w:eastAsia="仿宋_GB2312"/>
          <w:sz w:val="32"/>
          <w:szCs w:val="32"/>
          <w:lang w:val="en-US" w:eastAsia="zh-CN"/>
        </w:rPr>
        <w:t>7楼、10楼市特检所原办公用房</w:t>
      </w:r>
      <w:r>
        <w:rPr>
          <w:rFonts w:hint="eastAsia" w:ascii="仿宋_GB2312" w:hAnsi="宋体" w:cs="Times New Roman"/>
          <w:sz w:val="32"/>
          <w:szCs w:val="32"/>
          <w:lang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eastAsia="仿宋_GB2312"/>
          <w:bCs/>
          <w:kern w:val="0"/>
          <w:sz w:val="32"/>
          <w:szCs w:val="32"/>
          <w:lang w:val="en-US" w:eastAsia="zh-CN"/>
        </w:rPr>
      </w:pPr>
      <w:r>
        <w:rPr>
          <w:rFonts w:hint="eastAsia" w:eastAsia="仿宋_GB2312"/>
          <w:bCs/>
          <w:kern w:val="0"/>
          <w:sz w:val="32"/>
          <w:szCs w:val="32"/>
          <w:lang w:val="en-US" w:eastAsia="zh-CN"/>
        </w:rPr>
        <w:t>2023年3月15日，</w:t>
      </w:r>
      <w:r>
        <w:rPr>
          <w:rFonts w:hint="eastAsia" w:ascii="Times New Roman" w:hAnsi="Times New Roman" w:eastAsia="仿宋_GB2312" w:cs="仿宋_GB2312"/>
          <w:sz w:val="32"/>
          <w:szCs w:val="32"/>
          <w:lang w:eastAsia="zh-CN"/>
        </w:rPr>
        <w:t>根据局党组（扩大）会议精神，</w:t>
      </w:r>
      <w:r>
        <w:rPr>
          <w:rFonts w:hint="eastAsia" w:eastAsia="仿宋_GB2312"/>
          <w:bCs/>
          <w:kern w:val="0"/>
          <w:sz w:val="32"/>
          <w:szCs w:val="32"/>
          <w:lang w:eastAsia="zh-CN"/>
        </w:rPr>
        <w:t>成立了</w:t>
      </w:r>
      <w:r>
        <w:rPr>
          <w:rFonts w:hint="eastAsia" w:eastAsia="仿宋_GB2312"/>
          <w:bCs/>
          <w:kern w:val="0"/>
          <w:sz w:val="32"/>
          <w:szCs w:val="32"/>
        </w:rPr>
        <w:t>新</w:t>
      </w:r>
      <w:r>
        <w:rPr>
          <w:rFonts w:hint="eastAsia" w:eastAsia="仿宋_GB2312"/>
          <w:bCs/>
          <w:kern w:val="0"/>
          <w:sz w:val="32"/>
          <w:szCs w:val="32"/>
          <w:lang w:eastAsia="zh-CN"/>
        </w:rPr>
        <w:t>搬迁</w:t>
      </w:r>
      <w:r>
        <w:rPr>
          <w:rFonts w:hint="eastAsia" w:eastAsia="仿宋_GB2312"/>
          <w:bCs/>
          <w:kern w:val="0"/>
          <w:sz w:val="32"/>
          <w:szCs w:val="32"/>
        </w:rPr>
        <w:t>办公楼（原市质监局</w:t>
      </w:r>
      <w:r>
        <w:rPr>
          <w:rFonts w:hint="eastAsia" w:eastAsia="仿宋_GB2312"/>
          <w:bCs/>
          <w:kern w:val="0"/>
          <w:sz w:val="32"/>
          <w:szCs w:val="32"/>
          <w:lang w:eastAsia="zh-CN"/>
        </w:rPr>
        <w:t>七、十</w:t>
      </w:r>
      <w:r>
        <w:rPr>
          <w:rFonts w:hint="eastAsia" w:eastAsia="仿宋_GB2312"/>
          <w:bCs/>
          <w:kern w:val="0"/>
          <w:sz w:val="32"/>
          <w:szCs w:val="32"/>
        </w:rPr>
        <w:t>楼）</w:t>
      </w:r>
      <w:r>
        <w:rPr>
          <w:rFonts w:hint="eastAsia" w:eastAsia="仿宋_GB2312"/>
          <w:bCs/>
          <w:kern w:val="0"/>
          <w:sz w:val="32"/>
          <w:szCs w:val="32"/>
          <w:lang w:eastAsia="zh-CN"/>
        </w:rPr>
        <w:t>维修</w:t>
      </w:r>
      <w:r>
        <w:rPr>
          <w:rFonts w:hint="eastAsia" w:eastAsia="仿宋_GB2312"/>
          <w:bCs/>
          <w:kern w:val="0"/>
          <w:sz w:val="32"/>
          <w:szCs w:val="32"/>
        </w:rPr>
        <w:t>改造项目</w:t>
      </w:r>
      <w:r>
        <w:rPr>
          <w:rFonts w:hint="eastAsia" w:eastAsia="仿宋_GB2312"/>
          <w:bCs/>
          <w:kern w:val="0"/>
          <w:sz w:val="32"/>
          <w:szCs w:val="32"/>
          <w:lang w:eastAsia="zh-CN"/>
        </w:rPr>
        <w:t>工作领导小组</w:t>
      </w:r>
      <w:r>
        <w:rPr>
          <w:rFonts w:hint="eastAsia" w:eastAsia="仿宋_GB2312"/>
          <w:bCs/>
          <w:kern w:val="0"/>
          <w:sz w:val="32"/>
          <w:szCs w:val="32"/>
          <w:lang w:val="en-US" w:eastAsia="zh-CN"/>
        </w:rPr>
        <w:t>，</w:t>
      </w:r>
      <w:r>
        <w:rPr>
          <w:rFonts w:hint="eastAsia" w:ascii="Times New Roman" w:hAnsi="Times New Roman" w:eastAsia="仿宋_GB2312" w:cs="仿宋_GB2312"/>
          <w:sz w:val="32"/>
          <w:szCs w:val="32"/>
          <w:lang w:eastAsia="zh-CN"/>
        </w:rPr>
        <w:t>领导小组下设项目协调推进小组、项目监督小组和项目竣工验收工作小组，</w:t>
      </w:r>
      <w:r>
        <w:rPr>
          <w:rFonts w:hint="eastAsia" w:ascii="Times New Roman" w:hAnsi="Times New Roman" w:eastAsia="仿宋_GB2312" w:cs="仿宋_GB2312"/>
          <w:sz w:val="32"/>
          <w:szCs w:val="32"/>
          <w:lang w:val="en-US" w:eastAsia="zh-CN"/>
        </w:rPr>
        <w:t>负责督促特检所搬迁、钥匙移交，制定维修改造方案，维修改造公司招标和资料整理，办公室维修改造招标、竣工审计，项目竣工验收和后续工作。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楷体_GB2312" w:hAnsi="楷体_GB2312" w:eastAsia="仿宋_GB2312" w:cs="楷体_GB2312"/>
          <w:color w:val="auto"/>
          <w:sz w:val="32"/>
          <w:szCs w:val="32"/>
          <w:lang w:val="en-US" w:eastAsia="zh-CN"/>
        </w:rPr>
      </w:pPr>
      <w:r>
        <w:rPr>
          <w:rFonts w:eastAsia="仿宋_GB2312"/>
          <w:bCs/>
          <w:kern w:val="0"/>
          <w:sz w:val="32"/>
          <w:szCs w:val="32"/>
        </w:rPr>
        <w:t>经现场查看，</w:t>
      </w:r>
      <w:r>
        <w:rPr>
          <w:rFonts w:hint="eastAsia" w:eastAsia="仿宋_GB2312"/>
          <w:sz w:val="32"/>
          <w:szCs w:val="32"/>
          <w:lang w:eastAsia="zh-CN"/>
        </w:rPr>
        <w:t>办公用房改造面积约</w:t>
      </w:r>
      <w:r>
        <w:rPr>
          <w:rFonts w:hint="eastAsia" w:eastAsia="仿宋_GB2312"/>
          <w:sz w:val="32"/>
          <w:szCs w:val="32"/>
          <w:lang w:val="en-US" w:eastAsia="zh-CN"/>
        </w:rPr>
        <w:t>973.5㎡，</w:t>
      </w:r>
      <w:r>
        <w:rPr>
          <w:rFonts w:hint="eastAsia" w:eastAsia="仿宋_GB2312"/>
          <w:sz w:val="32"/>
          <w:szCs w:val="32"/>
        </w:rPr>
        <w:t>根据国家发展改革委、住房城乡建设部《关于印发党政机关办公用房建设标准的通知》（发改投资〔2014〕2674号）和广元市机关事务服务中心《关于印发〈广元市党政机关办公用房维修管理实施办法（试行）〉的通知》（广机事函〔2021〕53号）文件规定，经多次现场踏勘和初步测算</w:t>
      </w:r>
      <w:r>
        <w:rPr>
          <w:rFonts w:hint="eastAsia" w:eastAsia="仿宋_GB2312"/>
          <w:sz w:val="32"/>
          <w:szCs w:val="32"/>
          <w:lang w:eastAsia="zh-CN"/>
        </w:rPr>
        <w:t>出维修改造价格，通过第三方代理公司选取</w:t>
      </w:r>
      <w:r>
        <w:rPr>
          <w:rFonts w:hint="eastAsia" w:eastAsia="仿宋_GB2312"/>
          <w:sz w:val="32"/>
          <w:szCs w:val="32"/>
          <w:lang w:val="en-US" w:eastAsia="zh-CN"/>
        </w:rPr>
        <w:t>1家建筑公司进行施工。</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该项目实施时长为3个月，已完成交付。</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eastAsia="仿宋_GB2312"/>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eastAsia="仿宋_GB2312"/>
          <w:sz w:val="32"/>
          <w:szCs w:val="32"/>
          <w:lang w:val="en-US" w:eastAsia="zh-CN"/>
        </w:rPr>
      </w:pPr>
      <w:r>
        <w:rPr>
          <w:rFonts w:hint="eastAsia" w:eastAsia="仿宋_GB2312"/>
          <w:sz w:val="32"/>
          <w:szCs w:val="32"/>
          <w:lang w:val="en-US" w:eastAsia="zh-CN"/>
        </w:rPr>
        <w:t>完成了办公用房维修改造，保证办公室设置符合</w:t>
      </w:r>
      <w:r>
        <w:rPr>
          <w:rFonts w:hint="eastAsia" w:eastAsia="仿宋_GB2312"/>
          <w:sz w:val="32"/>
          <w:szCs w:val="32"/>
          <w:lang w:val="zh-CN" w:eastAsia="zh-CN"/>
        </w:rPr>
        <w:t>党政机关办公用房建设标准。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eastAsia="仿宋_GB2312"/>
          <w:sz w:val="32"/>
          <w:szCs w:val="32"/>
          <w:lang w:val="zh-CN" w:eastAsia="zh-CN"/>
        </w:rPr>
      </w:pPr>
      <w:r>
        <w:rPr>
          <w:rFonts w:hint="eastAsia" w:eastAsia="仿宋_GB2312"/>
          <w:sz w:val="32"/>
          <w:szCs w:val="32"/>
          <w:lang w:val="zh-CN" w:eastAsia="zh-CN"/>
        </w:rPr>
        <w:t>保证了办公室顺利搬迁，对老旧设备和家具进行了报废处置，通过广元电子商城采购了办公家具和设备，保证单位正常运转。</w:t>
      </w:r>
    </w:p>
    <w:p>
      <w:pPr>
        <w:keepNext w:val="0"/>
        <w:keepLines w:val="0"/>
        <w:pageBreakBefore w:val="0"/>
        <w:widowControl w:val="0"/>
        <w:numPr>
          <w:ilvl w:val="0"/>
          <w:numId w:val="9"/>
        </w:numPr>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eastAsia="仿宋_GB2312"/>
          <w:sz w:val="32"/>
          <w:szCs w:val="32"/>
          <w:lang w:val="en-US" w:eastAsia="zh-CN"/>
        </w:rPr>
      </w:pPr>
      <w:r>
        <w:rPr>
          <w:rFonts w:hint="eastAsia" w:eastAsia="仿宋_GB2312"/>
          <w:sz w:val="32"/>
          <w:szCs w:val="32"/>
          <w:lang w:val="en-US" w:eastAsia="zh-CN"/>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Times New Roman"/>
          <w:bCs/>
          <w:sz w:val="32"/>
          <w:szCs w:val="32"/>
          <w:highlight w:val="none"/>
          <w:u w:val="none"/>
          <w:lang w:val="zh-CN" w:eastAsia="zh-CN"/>
        </w:rPr>
        <w:t>办公用房维修改造与办公家具购置项目</w:t>
      </w:r>
      <w:r>
        <w:rPr>
          <w:rFonts w:hint="eastAsia" w:ascii="仿宋_GB2312" w:hAnsi="仿宋_GB2312" w:eastAsia="仿宋_GB2312" w:cs="仿宋_GB2312"/>
          <w:b w:val="0"/>
          <w:bCs w:val="0"/>
          <w:color w:val="auto"/>
          <w:kern w:val="0"/>
          <w:position w:val="0"/>
          <w:sz w:val="32"/>
          <w:szCs w:val="32"/>
          <w:highlight w:val="none"/>
          <w:lang w:val="en-US" w:eastAsia="zh-CN" w:bidi="ar-SA"/>
        </w:rPr>
        <w:t>绩效自评总分100分。</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五、存在主要问题</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黑体" w:hAnsi="黑体" w:eastAsia="宋体" w:cs="黑体"/>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tabs>
          <w:tab w:val="left" w:pos="1911"/>
        </w:tabs>
        <w:suppressAutoHyphens/>
        <w:kinsoku/>
        <w:wordWrap/>
        <w:overflowPunct/>
        <w:topLinePunct w:val="0"/>
        <w:autoSpaceDE/>
        <w:autoSpaceDN/>
        <w:bidi w:val="0"/>
        <w:spacing w:line="576" w:lineRule="exact"/>
        <w:ind w:left="0" w:firstLine="640" w:firstLineChars="200"/>
        <w:jc w:val="left"/>
        <w:textAlignment w:val="auto"/>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15"/>
        <w:keepNext w:val="0"/>
        <w:keepLines w:val="0"/>
        <w:pageBreakBefore w:val="0"/>
        <w:numPr>
          <w:ilvl w:val="0"/>
          <w:numId w:val="0"/>
        </w:numPr>
        <w:kinsoku/>
        <w:wordWrap/>
        <w:overflowPunct/>
        <w:topLinePunct w:val="0"/>
        <w:autoSpaceDE/>
        <w:autoSpaceDN/>
        <w:bidi w:val="0"/>
        <w:spacing w:after="0" w:line="576" w:lineRule="exact"/>
        <w:ind w:left="0" w:firstLine="640" w:firstLineChars="200"/>
        <w:textAlignment w:val="auto"/>
        <w:rPr>
          <w:rFonts w:hint="eastAsia" w:hAnsi="Times New Roman" w:cs="Times New Roman"/>
          <w:color w:val="auto"/>
          <w:sz w:val="32"/>
          <w:szCs w:val="32"/>
          <w:highlight w:val="none"/>
          <w:lang w:val="zh-CN" w:eastAsia="zh-CN"/>
        </w:rPr>
      </w:pPr>
    </w:p>
    <w:p>
      <w:pPr>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pStyle w:val="2"/>
        <w:rPr>
          <w:rFonts w:hint="eastAsia" w:hAnsi="Times New Roman" w:cs="Times New Roman"/>
          <w:color w:val="auto"/>
          <w:sz w:val="32"/>
          <w:szCs w:val="32"/>
          <w:highlight w:val="none"/>
          <w:lang w:val="zh-CN" w:eastAsia="zh-CN"/>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pStyle w:val="2"/>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(乡村振兴工作)</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10"/>
        </w:numPr>
        <w:kinsoku/>
        <w:wordWrap/>
        <w:overflowPunct/>
        <w:topLinePunct w:val="0"/>
        <w:autoSpaceDE/>
        <w:autoSpaceDN/>
        <w:bidi w:val="0"/>
        <w:adjustRightInd w:val="0"/>
        <w:snapToGrid w:val="0"/>
        <w:spacing w:line="576" w:lineRule="exact"/>
        <w:ind w:left="0" w:firstLine="640" w:firstLineChars="200"/>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zh-CN" w:eastAsia="zh-CN" w:bidi="ar-SA"/>
        </w:rPr>
      </w:pPr>
      <w:r>
        <w:rPr>
          <w:rFonts w:hint="eastAsia" w:ascii="仿宋_GB2312" w:hAnsi="仿宋_GB2312" w:eastAsia="仿宋_GB2312" w:cs="仿宋_GB2312"/>
          <w:color w:val="auto"/>
          <w:kern w:val="2"/>
          <w:sz w:val="32"/>
          <w:szCs w:val="32"/>
          <w:lang w:val="zh-CN" w:eastAsia="zh-CN" w:bidi="ar-SA"/>
        </w:rPr>
        <w:t>乡村振兴工作项目主管部门为局办公室，在该项目管理中的职能：在该项目管理中的职能：制定乡村振兴工作方案，督促驻村队员落实年度驻村工作。</w:t>
      </w:r>
    </w:p>
    <w:p>
      <w:pPr>
        <w:keepNext w:val="0"/>
        <w:keepLines w:val="0"/>
        <w:pageBreakBefore w:val="0"/>
        <w:widowControl w:val="0"/>
        <w:kinsoku/>
        <w:wordWrap/>
        <w:overflowPunct/>
        <w:topLinePunct w:val="0"/>
        <w:autoSpaceDE/>
        <w:autoSpaceDN/>
        <w:bidi w:val="0"/>
        <w:adjustRightInd w:val="0"/>
        <w:snapToGrid w:val="0"/>
        <w:spacing w:line="576" w:lineRule="exact"/>
        <w:ind w:left="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乡村振兴工作是我单位根据中央、省、市委的安排部署开展的重点工作</w:t>
      </w:r>
      <w:r>
        <w:rPr>
          <w:rFonts w:hint="eastAsia" w:ascii="仿宋_GB2312" w:hAnsi="仿宋_GB2312" w:eastAsia="仿宋_GB2312" w:cs="仿宋_GB2312"/>
          <w:color w:val="auto"/>
          <w:kern w:val="2"/>
          <w:sz w:val="32"/>
          <w:szCs w:val="32"/>
          <w:lang w:val="en-US" w:eastAsia="zh-CN" w:bidi="ar-SA"/>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预算安排1.82万元，资金全部用于驻村队员生活补贴和工作经费。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70"/>
        <w:gridCol w:w="1880"/>
        <w:gridCol w:w="3267"/>
        <w:gridCol w:w="634"/>
        <w:gridCol w:w="726"/>
        <w:gridCol w:w="9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帮扶村农民返乡创业年增加平均家庭数</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pacing w:after="0" w:line="576" w:lineRule="exact"/>
              <w:ind w:left="0"/>
              <w:jc w:val="center"/>
              <w:rPr>
                <w:rFonts w:hint="eastAsia" w:ascii="宋体" w:hAnsi="宋体" w:eastAsia="宋体" w:cs="宋体"/>
                <w:i w:val="0"/>
                <w:iCs w:val="0"/>
                <w:color w:val="000000"/>
                <w:sz w:val="18"/>
                <w:szCs w:val="18"/>
                <w:u w:val="none"/>
              </w:rPr>
            </w:pP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驻村工作队开展乡村振兴工作质量</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28"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pacing w:after="0" w:line="576" w:lineRule="exact"/>
              <w:ind w:left="0"/>
              <w:jc w:val="center"/>
              <w:rPr>
                <w:rFonts w:hint="eastAsia" w:ascii="宋体" w:hAnsi="宋体" w:eastAsia="宋体" w:cs="宋体"/>
                <w:i w:val="0"/>
                <w:iCs w:val="0"/>
                <w:color w:val="000000"/>
                <w:sz w:val="18"/>
                <w:szCs w:val="18"/>
                <w:u w:val="none"/>
              </w:rPr>
            </w:pP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2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乡村振兴工作完成情况</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pacing w:after="0" w:line="576" w:lineRule="exact"/>
              <w:ind w:left="0"/>
              <w:jc w:val="center"/>
              <w:rPr>
                <w:rFonts w:hint="eastAsia" w:ascii="宋体" w:hAnsi="宋体" w:eastAsia="宋体" w:cs="宋体"/>
                <w:i w:val="0"/>
                <w:iCs w:val="0"/>
                <w:color w:val="000000"/>
                <w:sz w:val="18"/>
                <w:szCs w:val="18"/>
                <w:u w:val="none"/>
              </w:rPr>
            </w:pP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改变农村落后面貌，为农民工返乡创业提供保证</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1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老百姓对乡村振兴工作开展满意度</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10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生活补贴</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28"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pacing w:after="0" w:line="576" w:lineRule="exact"/>
              <w:ind w:left="0"/>
              <w:jc w:val="center"/>
              <w:rPr>
                <w:rFonts w:hint="eastAsia" w:ascii="宋体" w:hAnsi="宋体" w:eastAsia="宋体" w:cs="宋体"/>
                <w:i w:val="0"/>
                <w:iCs w:val="0"/>
                <w:color w:val="000000"/>
                <w:sz w:val="18"/>
                <w:szCs w:val="18"/>
                <w:u w:val="none"/>
              </w:rPr>
            </w:pPr>
          </w:p>
        </w:tc>
        <w:tc>
          <w:tcPr>
            <w:tcW w:w="1103"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spacing w:after="0" w:line="576" w:lineRule="exact"/>
              <w:ind w:left="0"/>
              <w:jc w:val="center"/>
              <w:rPr>
                <w:rFonts w:hint="eastAsia" w:ascii="宋体" w:hAnsi="宋体" w:eastAsia="宋体" w:cs="宋体"/>
                <w:i w:val="0"/>
                <w:iCs w:val="0"/>
                <w:color w:val="000000"/>
                <w:sz w:val="18"/>
                <w:szCs w:val="18"/>
                <w:u w:val="none"/>
              </w:rPr>
            </w:pPr>
          </w:p>
        </w:tc>
        <w:tc>
          <w:tcPr>
            <w:tcW w:w="191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工作补贴</w:t>
            </w:r>
          </w:p>
        </w:tc>
        <w:tc>
          <w:tcPr>
            <w:tcW w:w="37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42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bidi w:val="0"/>
              <w:spacing w:line="576" w:lineRule="exact"/>
              <w:ind w:left="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bl>
    <w:p>
      <w:pPr>
        <w:pStyle w:val="27"/>
        <w:keepNext w:val="0"/>
        <w:keepLines w:val="0"/>
        <w:pageBreakBefore w:val="0"/>
        <w:kinsoku/>
        <w:wordWrap/>
        <w:overflowPunct/>
        <w:topLinePunct w:val="0"/>
        <w:bidi w:val="0"/>
        <w:spacing w:line="240" w:lineRule="auto"/>
        <w:ind w:left="0"/>
        <w:rPr>
          <w:rFonts w:hint="eastAsia"/>
          <w:lang w:val="zh-CN" w:eastAsia="zh-CN"/>
        </w:rPr>
      </w:pP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0" w:firstLine="642" w:firstLineChars="200"/>
        <w:textAlignment w:val="auto"/>
        <w:outlineLvl w:val="9"/>
        <w:rPr>
          <w:rFonts w:hint="eastAsia" w:eastAsia="仿宋_GB2312"/>
          <w:sz w:val="32"/>
          <w:szCs w:val="32"/>
          <w:lang w:val="zh-CN" w:eastAsia="zh-CN"/>
        </w:rPr>
      </w:pPr>
      <w:r>
        <w:rPr>
          <w:rFonts w:hint="eastAsia" w:ascii="楷体_GB2312" w:hAnsi="宋体" w:eastAsia="楷体_GB2312" w:cs="Times New Roman"/>
          <w:b/>
          <w:color w:val="auto"/>
          <w:sz w:val="32"/>
          <w:szCs w:val="32"/>
          <w:highlight w:val="none"/>
          <w:u w:val="none"/>
          <w:lang w:val="zh-CN"/>
        </w:rPr>
        <w:t>（一）评价目的。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预设问题：</w:t>
      </w:r>
      <w:r>
        <w:rPr>
          <w:rFonts w:hint="eastAsia" w:ascii="仿宋_GB2312" w:hAnsi="仿宋_GB2312" w:eastAsia="仿宋_GB2312" w:cs="仿宋_GB2312"/>
          <w:sz w:val="32"/>
          <w:szCs w:val="32"/>
          <w:lang w:val="en-US" w:eastAsia="zh-CN"/>
        </w:rPr>
        <w:t>1.是否完成全村人口入户算账，完成防返贫监测。2.是否顺利完成第三方检查机构抽查验收。</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评价重点</w:t>
      </w:r>
      <w:r>
        <w:rPr>
          <w:rFonts w:hint="eastAsia" w:ascii="仿宋_GB2312" w:hAnsi="仿宋_GB2312" w:eastAsia="仿宋_GB2312" w:cs="仿宋_GB2312"/>
          <w:sz w:val="32"/>
          <w:szCs w:val="32"/>
          <w:lang w:val="en-US" w:eastAsia="zh-CN"/>
        </w:rPr>
        <w:t>：2023年村集体经济收入。</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pStyle w:val="5"/>
        <w:keepNext w:val="0"/>
        <w:keepLines w:val="0"/>
        <w:pageBreakBefore w:val="0"/>
        <w:widowControl w:val="0"/>
        <w:numPr>
          <w:ilvl w:val="0"/>
          <w:numId w:val="0"/>
        </w:numPr>
        <w:kinsoku/>
        <w:wordWrap/>
        <w:overflowPunct/>
        <w:topLinePunct w:val="0"/>
        <w:autoSpaceDE/>
        <w:autoSpaceDN/>
        <w:bidi w:val="0"/>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驻村考勤表、工作日志、入户调研。</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自评采用定量与定性评价相结合的比较法。</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en-US" w:eastAsia="zh-CN"/>
        </w:rPr>
        <w:t>五</w:t>
      </w:r>
      <w:r>
        <w:rPr>
          <w:rFonts w:hint="eastAsia" w:ascii="楷体_GB2312" w:hAnsi="宋体" w:eastAsia="楷体_GB2312" w:cs="Times New Roman"/>
          <w:b/>
          <w:color w:val="auto"/>
          <w:sz w:val="32"/>
          <w:szCs w:val="32"/>
          <w:highlight w:val="none"/>
          <w:u w:val="none"/>
          <w:lang w:val="zh-CN"/>
        </w:rPr>
        <w:t>）评价组织。</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val="en-US" w:eastAsia="zh-CN"/>
        </w:rPr>
        <w:t>局</w:t>
      </w:r>
      <w:r>
        <w:rPr>
          <w:rFonts w:hint="default" w:ascii="仿宋_GB2312" w:hAnsi="仿宋_GB2312" w:eastAsia="仿宋_GB2312" w:cs="仿宋_GB2312"/>
          <w:sz w:val="32"/>
          <w:szCs w:val="32"/>
          <w:lang w:val="en-US" w:eastAsia="zh-CN"/>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sz w:val="32"/>
          <w:szCs w:val="32"/>
          <w:lang w:val="en-US" w:eastAsia="zh-CN"/>
        </w:rPr>
        <w:t>局办公室</w:t>
      </w:r>
      <w:r>
        <w:rPr>
          <w:rFonts w:hint="default" w:ascii="仿宋_GB2312" w:hAnsi="仿宋_GB2312" w:eastAsia="仿宋_GB2312" w:cs="仿宋_GB2312"/>
          <w:sz w:val="32"/>
          <w:szCs w:val="32"/>
          <w:lang w:val="en-US" w:eastAsia="zh-CN"/>
        </w:rPr>
        <w:t>收集整理</w:t>
      </w:r>
      <w:r>
        <w:rPr>
          <w:rFonts w:hint="eastAsia" w:ascii="仿宋_GB2312" w:hAnsi="仿宋_GB2312" w:eastAsia="仿宋_GB2312" w:cs="仿宋_GB2312"/>
          <w:sz w:val="32"/>
          <w:szCs w:val="32"/>
          <w:lang w:val="en-US" w:eastAsia="zh-CN"/>
        </w:rPr>
        <w:t>该项目</w:t>
      </w:r>
      <w:r>
        <w:rPr>
          <w:rFonts w:hint="default" w:ascii="仿宋_GB2312" w:hAnsi="仿宋_GB2312" w:eastAsia="仿宋_GB2312" w:cs="仿宋_GB2312"/>
          <w:sz w:val="32"/>
          <w:szCs w:val="32"/>
          <w:lang w:val="en-US" w:eastAsia="zh-CN"/>
        </w:rPr>
        <w:t>数据，落实项目实施、运行及资金使用情况，并对所有数据材料进行汇总、分析，形成绩效自评报告。</w:t>
      </w:r>
    </w:p>
    <w:p>
      <w:pPr>
        <w:keepNext w:val="0"/>
        <w:keepLines w:val="0"/>
        <w:pageBreakBefore w:val="0"/>
        <w:suppressAutoHyphens/>
        <w:kinsoku/>
        <w:wordWrap/>
        <w:overflowPunct/>
        <w:topLinePunct w:val="0"/>
        <w:autoSpaceDE/>
        <w:autoSpaceDN/>
        <w:bidi w:val="0"/>
        <w:adjustRightInd w:val="0"/>
        <w:snapToGrid w:val="0"/>
        <w:spacing w:line="576" w:lineRule="exact"/>
        <w:ind w:left="0"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省委组织部《关于印发&lt;四川省贫困村第一书记及驻村工作队队员管理办法&gt;的通知》（川组通〔2018〕65号）等有关文件要求，将驻村工作经费列入财政年度预算，按照财政局下达《广元市市级部门（单位）驻村帮扶联系村项目预算控制数》，贫困村帮扶工作经费5000元，驻村队员生活补贴13200元。</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color w:val="auto"/>
          <w:kern w:val="2"/>
          <w:sz w:val="32"/>
          <w:szCs w:val="32"/>
          <w:lang w:val="en-US" w:eastAsia="zh-CN" w:bidi="ar-SA"/>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驻村干部由派驻所在区委组织部、镇、村管理。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根据市委组织部要求，派遣单位干部到帮扶村开展工作，主要领导每年、分管领导每季度调研1次工作开展情况。</w:t>
      </w:r>
      <w:r>
        <w:rPr>
          <w:rFonts w:hint="eastAsia" w:ascii="仿宋_GB2312" w:hAnsi="仿宋_GB2312" w:eastAsia="仿宋_GB2312" w:cs="仿宋_GB2312"/>
          <w:sz w:val="32"/>
          <w:szCs w:val="32"/>
          <w:lang w:val="zh-CN" w:eastAsia="zh-CN"/>
        </w:rPr>
        <w:t>不定期检查工作队员工作日志与考勤表。</w:t>
      </w:r>
      <w:r>
        <w:rPr>
          <w:rFonts w:hint="eastAsia" w:ascii="仿宋_GB2312" w:hAnsi="仿宋_GB2312" w:eastAsia="仿宋_GB2312" w:cs="仿宋_GB2312"/>
          <w:sz w:val="32"/>
          <w:szCs w:val="32"/>
          <w:lang w:val="en-US" w:eastAsia="zh-CN"/>
        </w:rPr>
        <w:t>不定期检查驻村队员在位情况，了解驻村队员生活、工作情况，分析帮扶村产业发展现状，指导产业发展。</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lang w:val="zh-CN" w:eastAsia="zh-CN"/>
        </w:rPr>
        <w:t>资金无结余和违规记录，</w:t>
      </w:r>
      <w:r>
        <w:rPr>
          <w:rFonts w:hint="eastAsia" w:ascii="仿宋_GB2312" w:hAnsi="仿宋_GB2312" w:eastAsia="仿宋_GB2312" w:cs="仿宋_GB2312"/>
          <w:sz w:val="32"/>
          <w:szCs w:val="32"/>
          <w:lang w:val="en-US" w:eastAsia="zh-CN"/>
        </w:rPr>
        <w:t>通过项目实施，通过实施该项目，我局驻村工作队员开展入户走访，将情况反馈局领导后，主要领导多次到村调研，组织金融机构实地研究金融支持帮扶村肉牛羊养殖、剑门土鸡养殖、王家贡米生产加工、粮油加工及农产品销售措施，完成了年度乡村振兴工作任务。</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宋体" w:eastAsia="仿宋_GB2312"/>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双龙村的产业目前还是以传统农业为主，种植业方面是烤烟、水稻、油菜等常规农作物，大部分农户家中都有种植，但都是自给自足为主。养殖业方面以有小规模肉牛养殖户5户，规模土鸡养殖户14户。</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640" w:leftChars="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2023年，全村无返贫线索，稳定实现了两不愁三保障。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640" w:leftChars="0"/>
        <w:textAlignment w:val="auto"/>
        <w:outlineLvl w:val="9"/>
        <w:rPr>
          <w:rFonts w:hint="eastAsia" w:eastAsia="仿宋_GB2312"/>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道路方面：</w:t>
      </w:r>
      <w:r>
        <w:rPr>
          <w:rFonts w:hint="eastAsia" w:ascii="仿宋_GB2312" w:hAnsi="仿宋_GB2312" w:eastAsia="仿宋_GB2312" w:cs="仿宋_GB2312"/>
          <w:sz w:val="32"/>
          <w:szCs w:val="32"/>
          <w:lang w:val="zh-CN" w:eastAsia="zh-CN"/>
        </w:rPr>
        <w:t>双龙村</w:t>
      </w:r>
      <w:r>
        <w:rPr>
          <w:rFonts w:hint="eastAsia" w:ascii="仿宋_GB2312" w:hAnsi="仿宋_GB2312" w:eastAsia="仿宋_GB2312" w:cs="仿宋_GB2312"/>
          <w:sz w:val="32"/>
          <w:szCs w:val="32"/>
          <w:lang w:val="en-US" w:eastAsia="zh-CN"/>
        </w:rPr>
        <w:t>7个社，2023年底，</w:t>
      </w:r>
      <w:r>
        <w:rPr>
          <w:rFonts w:hint="eastAsia" w:ascii="仿宋_GB2312" w:hAnsi="仿宋_GB2312" w:eastAsia="仿宋_GB2312" w:cs="仿宋_GB2312"/>
          <w:sz w:val="32"/>
          <w:szCs w:val="32"/>
          <w:lang w:val="zh-CN" w:eastAsia="zh-CN"/>
        </w:rPr>
        <w:t>完成了</w:t>
      </w:r>
      <w:r>
        <w:rPr>
          <w:rFonts w:hint="eastAsia" w:ascii="仿宋_GB2312" w:hAnsi="仿宋_GB2312" w:eastAsia="仿宋_GB2312" w:cs="仿宋_GB2312"/>
          <w:sz w:val="32"/>
          <w:szCs w:val="32"/>
          <w:lang w:val="en-US" w:eastAsia="zh-CN"/>
        </w:rPr>
        <w:t>5个社老百姓的入户道路硬化，村内目前仍有两个社的群众没有入户道路，涉及群众217户4.3公里</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adjustRightInd/>
        <w:snapToGrid/>
        <w:spacing w:line="576" w:lineRule="exact"/>
        <w:ind w:left="0"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灌溉用</w:t>
      </w:r>
      <w:r>
        <w:rPr>
          <w:rFonts w:hint="eastAsia" w:ascii="仿宋_GB2312" w:hAnsi="仿宋_GB2312" w:eastAsia="仿宋_GB2312" w:cs="仿宋_GB2312"/>
          <w:sz w:val="32"/>
          <w:szCs w:val="32"/>
        </w:rPr>
        <w:t>水</w:t>
      </w:r>
      <w:r>
        <w:rPr>
          <w:rFonts w:hint="eastAsia" w:ascii="仿宋_GB2312" w:hAnsi="仿宋_GB2312" w:eastAsia="仿宋_GB2312" w:cs="仿宋_GB2312"/>
          <w:sz w:val="32"/>
          <w:szCs w:val="32"/>
          <w:lang w:val="en-US" w:eastAsia="zh-CN"/>
        </w:rPr>
        <w:t>方面：</w:t>
      </w:r>
      <w:r>
        <w:rPr>
          <w:rFonts w:hint="eastAsia" w:ascii="仿宋_GB2312" w:hAnsi="仿宋_GB2312" w:eastAsia="仿宋_GB2312" w:cs="仿宋_GB2312"/>
          <w:sz w:val="32"/>
          <w:szCs w:val="32"/>
          <w:lang w:val="zh-CN" w:eastAsia="zh-CN"/>
        </w:rPr>
        <w:t>双龙村仍有一部分当家山坪塘因为年久失修不能蓄水；放水龙漕、渠系老化、损坏严重不能发挥作用。2022年实施“西渠”治理节水灌溉后，给双龙村1、2、3、4社群众没有带来便利。</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人居环境提升方面：2023年双龙村实施的105口三级化粪池，已全部完工并交付使用</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640" w:leftChars="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textAlignment w:val="auto"/>
        <w:outlineLvl w:val="9"/>
        <w:rPr>
          <w:rFonts w:hint="eastAsia" w:eastAsia="仿宋_GB2312"/>
          <w:sz w:val="32"/>
          <w:szCs w:val="32"/>
          <w:lang w:val="zh-CN" w:eastAsia="zh-CN"/>
        </w:rPr>
      </w:pPr>
      <w:r>
        <w:rPr>
          <w:rFonts w:hint="eastAsia" w:eastAsia="仿宋_GB2312"/>
          <w:sz w:val="32"/>
          <w:szCs w:val="32"/>
          <w:lang w:val="zh-CN" w:eastAsia="zh-CN"/>
        </w:rPr>
        <w:t>无。</w:t>
      </w:r>
    </w:p>
    <w:p>
      <w:pPr>
        <w:keepNext w:val="0"/>
        <w:keepLines w:val="0"/>
        <w:pageBreakBefore w:val="0"/>
        <w:widowControl w:val="0"/>
        <w:numPr>
          <w:ilvl w:val="0"/>
          <w:numId w:val="9"/>
        </w:numPr>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textAlignment w:val="auto"/>
        <w:outlineLvl w:val="9"/>
        <w:rPr>
          <w:rFonts w:hint="eastAsia" w:eastAsia="仿宋_GB2312"/>
          <w:sz w:val="32"/>
          <w:szCs w:val="32"/>
          <w:lang w:val="en-US" w:eastAsia="zh-CN"/>
        </w:rPr>
      </w:pPr>
      <w:r>
        <w:rPr>
          <w:rFonts w:hint="eastAsia" w:eastAsia="仿宋_GB2312"/>
          <w:sz w:val="32"/>
          <w:szCs w:val="32"/>
          <w:lang w:val="en-US" w:eastAsia="zh-CN"/>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Times New Roman"/>
          <w:bCs/>
          <w:sz w:val="32"/>
          <w:szCs w:val="32"/>
          <w:highlight w:val="none"/>
          <w:u w:val="none"/>
          <w:lang w:val="zh-CN" w:eastAsia="zh-CN"/>
        </w:rPr>
        <w:t>乡村振兴</w:t>
      </w:r>
      <w:r>
        <w:rPr>
          <w:rFonts w:hint="eastAsia" w:ascii="仿宋_GB2312" w:hAnsi="仿宋_GB2312" w:eastAsia="仿宋_GB2312" w:cs="仿宋_GB2312"/>
          <w:b w:val="0"/>
          <w:bCs w:val="0"/>
          <w:color w:val="auto"/>
          <w:kern w:val="0"/>
          <w:position w:val="0"/>
          <w:sz w:val="32"/>
          <w:szCs w:val="32"/>
          <w:highlight w:val="none"/>
          <w:lang w:val="en-US" w:eastAsia="zh-CN" w:bidi="ar-SA"/>
        </w:rPr>
        <w:t>绩效自评总分100分。</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napToGri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五、存在主要问题</w:t>
      </w:r>
    </w:p>
    <w:p>
      <w:pPr>
        <w:keepNext w:val="0"/>
        <w:keepLines w:val="0"/>
        <w:pageBreakBefore w:val="0"/>
        <w:widowControl w:val="0"/>
        <w:kinsoku/>
        <w:wordWrap/>
        <w:overflowPunct/>
        <w:topLinePunct w:val="0"/>
        <w:autoSpaceDE/>
        <w:autoSpaceDN/>
        <w:bidi w:val="0"/>
        <w:adjustRightInd/>
        <w:snapToGrid/>
        <w:spacing w:line="576" w:lineRule="exact"/>
        <w:ind w:leftChars="0" w:firstLine="640" w:firstLineChars="200"/>
        <w:textAlignment w:val="auto"/>
        <w:outlineLvl w:val="3"/>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集体经济薄弱，产业园区急需后期扶持。村集体经济主要依靠租赁（机械租赁、养殖园区租赁）收入维持。产业园区主要有猕猴桃300亩，为业主承包经营，需给予后期管护扶持。着力建设高标准农田600亩，依托公司、专合社，扩大农作物的种植面积，并能进行粮油的深加工，还需一定的资金扶持。农特产品的预包装、销售销路还存在一定问题。</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napToGrid/>
        <w:spacing w:before="0" w:line="576" w:lineRule="exact"/>
        <w:ind w:leftChars="0"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tabs>
          <w:tab w:val="left" w:pos="1911"/>
        </w:tabs>
        <w:suppressAutoHyphens/>
        <w:kinsoku/>
        <w:wordWrap/>
        <w:overflowPunct/>
        <w:topLinePunct w:val="0"/>
        <w:autoSpaceDE/>
        <w:autoSpaceDN/>
        <w:bidi w:val="0"/>
        <w:adjustRightInd/>
        <w:snapToGrid/>
        <w:spacing w:line="576" w:lineRule="exact"/>
        <w:ind w:leftChars="0" w:firstLine="640" w:firstLineChars="200"/>
        <w:jc w:val="left"/>
        <w:textAlignment w:val="auto"/>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15"/>
        <w:numPr>
          <w:ilvl w:val="0"/>
          <w:numId w:val="0"/>
        </w:numPr>
      </w:pPr>
    </w:p>
    <w:p/>
    <w:p>
      <w:pPr>
        <w:pStyle w:val="2"/>
      </w:pPr>
    </w:p>
    <w:p>
      <w:pPr>
        <w:pStyle w:val="2"/>
      </w:pPr>
    </w:p>
    <w:p>
      <w:pPr>
        <w:pStyle w:val="2"/>
      </w:pPr>
    </w:p>
    <w:p>
      <w:pPr>
        <w:pStyle w:val="2"/>
      </w:pPr>
    </w:p>
    <w:p>
      <w:pPr>
        <w:pStyle w:val="2"/>
      </w:pPr>
    </w:p>
    <w:p>
      <w:pPr>
        <w:pStyle w:val="2"/>
      </w:pPr>
    </w:p>
    <w:p>
      <w:pPr>
        <w:pStyle w:val="2"/>
      </w:pPr>
    </w:p>
    <w:p/>
    <w:p>
      <w:pPr>
        <w:pStyle w:val="2"/>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(全市小额贷款公司审计服务采购项目)</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200" w:firstLine="320" w:firstLineChars="100"/>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sz w:val="32"/>
          <w:szCs w:val="32"/>
          <w:lang w:val="en-US" w:eastAsia="zh-CN"/>
        </w:rPr>
      </w:pPr>
      <w:r>
        <w:rPr>
          <w:rFonts w:hint="eastAsia" w:ascii="Times New Roman" w:hAnsi="Times New Roman" w:eastAsia="仿宋_GB2312" w:cs="Times New Roman"/>
          <w:bCs/>
          <w:sz w:val="32"/>
          <w:szCs w:val="32"/>
          <w:u w:val="none"/>
          <w:lang w:val="en-US" w:eastAsia="zh-CN"/>
        </w:rPr>
        <w:t>全市</w:t>
      </w:r>
      <w:r>
        <w:rPr>
          <w:rFonts w:hint="eastAsia" w:eastAsia="仿宋_GB2312" w:cs="Times New Roman"/>
          <w:bCs/>
          <w:sz w:val="32"/>
          <w:szCs w:val="32"/>
          <w:u w:val="none"/>
          <w:lang w:val="en-US" w:eastAsia="zh-CN"/>
        </w:rPr>
        <w:t>小额贷款</w:t>
      </w:r>
      <w:r>
        <w:rPr>
          <w:rFonts w:hint="eastAsia" w:ascii="Times New Roman" w:hAnsi="Times New Roman" w:eastAsia="仿宋_GB2312" w:cs="Times New Roman"/>
          <w:bCs/>
          <w:sz w:val="32"/>
          <w:szCs w:val="32"/>
          <w:u w:val="none"/>
          <w:lang w:val="en-US" w:eastAsia="zh-CN"/>
        </w:rPr>
        <w:t>公司审计服务采购项目</w:t>
      </w:r>
      <w:r>
        <w:rPr>
          <w:rFonts w:hint="eastAsia" w:ascii="仿宋_GB2312" w:hAnsi="宋体" w:eastAsia="仿宋_GB2312" w:cs="Times New Roman"/>
          <w:sz w:val="32"/>
          <w:szCs w:val="32"/>
          <w:lang w:val="en-US" w:eastAsia="zh-CN"/>
        </w:rPr>
        <w:t>是我单位根据市委市政府的安排部署开展的重点工作。</w:t>
      </w:r>
      <w:r>
        <w:rPr>
          <w:rFonts w:hint="eastAsia" w:ascii="Times New Roman" w:hAnsi="Times New Roman" w:eastAsia="仿宋_GB2312" w:cs="Times New Roman"/>
          <w:bCs/>
          <w:sz w:val="32"/>
          <w:szCs w:val="32"/>
          <w:u w:val="none"/>
          <w:lang w:eastAsia="zh-CN"/>
        </w:rPr>
        <w:t>全市</w:t>
      </w:r>
      <w:r>
        <w:rPr>
          <w:rFonts w:hint="eastAsia" w:eastAsia="仿宋_GB2312" w:cs="Times New Roman"/>
          <w:bCs/>
          <w:sz w:val="32"/>
          <w:szCs w:val="32"/>
          <w:u w:val="none"/>
          <w:lang w:val="en-US" w:eastAsia="zh-CN"/>
        </w:rPr>
        <w:t>小额贷款</w:t>
      </w:r>
      <w:r>
        <w:rPr>
          <w:rFonts w:hint="eastAsia" w:ascii="Times New Roman" w:hAnsi="Times New Roman" w:eastAsia="仿宋_GB2312" w:cs="Times New Roman"/>
          <w:bCs/>
          <w:sz w:val="32"/>
          <w:szCs w:val="32"/>
          <w:u w:val="none"/>
          <w:lang w:eastAsia="zh-CN"/>
        </w:rPr>
        <w:t>公司审计服务采购项目主管科室为</w:t>
      </w:r>
      <w:r>
        <w:rPr>
          <w:rFonts w:hint="eastAsia" w:eastAsia="仿宋_GB2312" w:cs="Times New Roman"/>
          <w:bCs/>
          <w:sz w:val="32"/>
          <w:szCs w:val="32"/>
          <w:u w:val="none"/>
          <w:lang w:eastAsia="zh-CN"/>
        </w:rPr>
        <w:t>地方金融</w:t>
      </w:r>
      <w:r>
        <w:rPr>
          <w:rFonts w:hint="eastAsia" w:ascii="Times New Roman" w:hAnsi="Times New Roman" w:eastAsia="仿宋_GB2312" w:cs="Times New Roman"/>
          <w:bCs/>
          <w:sz w:val="32"/>
          <w:szCs w:val="32"/>
          <w:u w:val="none"/>
          <w:lang w:eastAsia="zh-CN"/>
        </w:rPr>
        <w:t>科，</w:t>
      </w:r>
      <w:r>
        <w:rPr>
          <w:rFonts w:hint="eastAsia" w:ascii="仿宋_GB2312" w:hAnsi="宋体" w:eastAsia="仿宋_GB2312" w:cs="Times New Roman"/>
          <w:b w:val="0"/>
          <w:bCs w:val="0"/>
          <w:sz w:val="32"/>
          <w:szCs w:val="32"/>
          <w:lang w:val="zh-CN"/>
        </w:rPr>
        <w:t>在该项目管理中的</w:t>
      </w:r>
      <w:r>
        <w:rPr>
          <w:rFonts w:hint="eastAsia" w:ascii="Times New Roman" w:hAnsi="Times New Roman" w:eastAsia="仿宋_GB2312" w:cs="Times New Roman"/>
          <w:bCs/>
          <w:sz w:val="32"/>
          <w:szCs w:val="32"/>
          <w:u w:val="none"/>
          <w:lang w:eastAsia="zh-CN"/>
        </w:rPr>
        <w:t>职能：在市政府网站挂网公示，通过竞争性谈判提供服务的第三方审计机构；拟定审计合同，审核审计报告是否符合合同要求。</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kinsoku/>
        <w:wordWrap/>
        <w:overflowPunct/>
        <w:topLinePunct w:val="0"/>
        <w:autoSpaceDE/>
        <w:autoSpaceDN/>
        <w:bidi w:val="0"/>
        <w:snapToGrid w:val="0"/>
        <w:spacing w:line="576" w:lineRule="exact"/>
        <w:ind w:left="0" w:leftChars="0" w:firstLine="640" w:firstLineChars="200"/>
        <w:rPr>
          <w:rFonts w:hint="eastAsia" w:ascii="楷体_GB2312" w:hAnsi="Times New Roman" w:eastAsia="楷体_GB2312" w:cs="Times New Roman"/>
          <w:bCs/>
          <w:sz w:val="32"/>
          <w:szCs w:val="32"/>
        </w:rPr>
      </w:pPr>
      <w:r>
        <w:rPr>
          <w:rFonts w:hint="eastAsia" w:ascii="Times New Roman" w:hAnsi="Times New Roman" w:eastAsia="仿宋_GB2312" w:cs="Times New Roman"/>
          <w:bCs/>
          <w:sz w:val="32"/>
          <w:szCs w:val="32"/>
          <w:u w:val="none"/>
          <w:lang w:eastAsia="zh-CN"/>
        </w:rPr>
        <w:t>项目实施的目的是对全市</w:t>
      </w:r>
      <w:r>
        <w:rPr>
          <w:rFonts w:hint="eastAsia" w:ascii="Times New Roman" w:hAnsi="Times New Roman" w:eastAsia="仿宋_GB2312" w:cs="Times New Roman"/>
          <w:bCs/>
          <w:sz w:val="32"/>
          <w:szCs w:val="32"/>
          <w:u w:val="none"/>
          <w:lang w:val="en-US" w:eastAsia="zh-CN"/>
        </w:rPr>
        <w:t>1</w:t>
      </w:r>
      <w:r>
        <w:rPr>
          <w:rFonts w:hint="eastAsia" w:eastAsia="仿宋_GB2312" w:cs="Times New Roman"/>
          <w:bCs/>
          <w:sz w:val="32"/>
          <w:szCs w:val="32"/>
          <w:u w:val="none"/>
          <w:lang w:val="en-US" w:eastAsia="zh-CN"/>
        </w:rPr>
        <w:t>2家小额贷款</w:t>
      </w:r>
      <w:r>
        <w:rPr>
          <w:rFonts w:hint="eastAsia" w:ascii="Times New Roman" w:hAnsi="Times New Roman" w:eastAsia="仿宋_GB2312" w:cs="Times New Roman"/>
          <w:bCs/>
          <w:sz w:val="32"/>
          <w:szCs w:val="32"/>
          <w:u w:val="none"/>
          <w:lang w:eastAsia="zh-CN"/>
        </w:rPr>
        <w:t>公司开展合规性检查。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200" w:firstLine="321" w:firstLineChars="1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Times New Roman" w:hAnsi="Times New Roman" w:eastAsia="仿宋_GB2312" w:cs="Times New Roman"/>
          <w:bCs/>
          <w:sz w:val="32"/>
          <w:szCs w:val="32"/>
          <w:u w:val="none"/>
          <w:lang w:val="en-US" w:eastAsia="zh-CN"/>
        </w:rPr>
        <w:t>项目预算资金不超过</w:t>
      </w:r>
      <w:r>
        <w:rPr>
          <w:rFonts w:hint="eastAsia" w:eastAsia="仿宋_GB2312" w:cs="Times New Roman"/>
          <w:bCs/>
          <w:sz w:val="32"/>
          <w:szCs w:val="32"/>
          <w:u w:val="none"/>
          <w:lang w:val="en-US" w:eastAsia="zh-CN"/>
        </w:rPr>
        <w:t>7</w:t>
      </w:r>
      <w:r>
        <w:rPr>
          <w:rFonts w:hint="eastAsia" w:ascii="Times New Roman" w:hAnsi="Times New Roman" w:eastAsia="仿宋_GB2312" w:cs="Times New Roman"/>
          <w:bCs/>
          <w:sz w:val="32"/>
          <w:szCs w:val="32"/>
          <w:u w:val="none"/>
          <w:lang w:val="en-US" w:eastAsia="zh-CN"/>
        </w:rPr>
        <w:t>万元，资金</w:t>
      </w:r>
      <w:r>
        <w:rPr>
          <w:rFonts w:hint="eastAsia" w:ascii="仿宋_GB2312" w:hAnsi="仿宋_GB2312" w:eastAsia="仿宋_GB2312" w:cs="仿宋_GB2312"/>
          <w:bCs/>
          <w:sz w:val="32"/>
          <w:szCs w:val="32"/>
          <w:u w:val="none"/>
          <w:lang w:val="en-US" w:eastAsia="zh-CN"/>
        </w:rPr>
        <w:t>全</w:t>
      </w:r>
      <w:r>
        <w:rPr>
          <w:rFonts w:hint="eastAsia" w:ascii="仿宋_GB2312" w:hAnsi="仿宋_GB2312" w:eastAsia="仿宋_GB2312" w:cs="仿宋_GB2312"/>
          <w:b w:val="0"/>
          <w:bCs w:val="0"/>
          <w:sz w:val="32"/>
          <w:szCs w:val="32"/>
          <w:lang w:val="en-US" w:eastAsia="zh-CN"/>
        </w:rPr>
        <w:t>部用于委托第三方机构</w:t>
      </w:r>
      <w:r>
        <w:rPr>
          <w:rFonts w:hint="eastAsia" w:ascii="仿宋_GB2312" w:hAnsi="仿宋_GB2312" w:eastAsia="仿宋_GB2312" w:cs="仿宋_GB2312"/>
          <w:bCs/>
          <w:sz w:val="32"/>
          <w:szCs w:val="32"/>
          <w:u w:val="none"/>
          <w:lang w:eastAsia="zh-CN"/>
        </w:rPr>
        <w:t>对全市</w:t>
      </w:r>
      <w:r>
        <w:rPr>
          <w:rFonts w:hint="eastAsia" w:eastAsia="仿宋_GB2312" w:cs="Times New Roman"/>
          <w:bCs/>
          <w:sz w:val="32"/>
          <w:szCs w:val="32"/>
          <w:u w:val="none"/>
          <w:lang w:val="en-US" w:eastAsia="zh-CN"/>
        </w:rPr>
        <w:t>小额贷款</w:t>
      </w:r>
      <w:r>
        <w:rPr>
          <w:rFonts w:hint="eastAsia" w:ascii="仿宋_GB2312" w:hAnsi="仿宋_GB2312" w:eastAsia="仿宋_GB2312" w:cs="仿宋_GB2312"/>
          <w:bCs/>
          <w:sz w:val="32"/>
          <w:szCs w:val="32"/>
          <w:u w:val="none"/>
          <w:lang w:eastAsia="zh-CN"/>
        </w:rPr>
        <w:t>公司开展清产核资、合规性检查。</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2"/>
        <w:gridCol w:w="1760"/>
        <w:gridCol w:w="2902"/>
        <w:gridCol w:w="1015"/>
        <w:gridCol w:w="883"/>
        <w:gridCol w:w="8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9" w:hRule="atLeast"/>
        </w:trPr>
        <w:tc>
          <w:tcPr>
            <w:tcW w:w="6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6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被</w:t>
            </w:r>
            <w:r>
              <w:rPr>
                <w:rFonts w:hint="eastAsia" w:ascii="宋体" w:hAnsi="宋体" w:cs="宋体"/>
                <w:i w:val="0"/>
                <w:iCs w:val="0"/>
                <w:color w:val="000000"/>
                <w:kern w:val="0"/>
                <w:sz w:val="18"/>
                <w:szCs w:val="18"/>
                <w:u w:val="none"/>
                <w:lang w:val="en-US" w:eastAsia="zh-CN" w:bidi="ar"/>
              </w:rPr>
              <w:t>检查</w:t>
            </w:r>
            <w:r>
              <w:rPr>
                <w:rFonts w:hint="eastAsia" w:ascii="宋体" w:hAnsi="宋体" w:eastAsia="宋体" w:cs="宋体"/>
                <w:i w:val="0"/>
                <w:iCs w:val="0"/>
                <w:color w:val="000000"/>
                <w:kern w:val="0"/>
                <w:sz w:val="18"/>
                <w:szCs w:val="18"/>
                <w:u w:val="none"/>
                <w:lang w:val="en-US" w:eastAsia="zh-CN" w:bidi="ar"/>
              </w:rPr>
              <w:t>小额贷款</w:t>
            </w:r>
            <w:r>
              <w:rPr>
                <w:rFonts w:ascii="宋体" w:hAnsi="宋体" w:eastAsia="宋体" w:cs="宋体"/>
                <w:i w:val="0"/>
                <w:iCs w:val="0"/>
                <w:color w:val="000000"/>
                <w:kern w:val="0"/>
                <w:sz w:val="18"/>
                <w:szCs w:val="18"/>
                <w:u w:val="none"/>
                <w:lang w:val="en-US" w:eastAsia="zh-CN" w:bidi="ar"/>
              </w:rPr>
              <w:t>公司数量</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12</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4" w:hRule="atLeast"/>
        </w:trPr>
        <w:tc>
          <w:tcPr>
            <w:tcW w:w="670"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76" w:lineRule="exact"/>
              <w:ind w:left="0" w:leftChars="0" w:firstLine="360" w:firstLineChars="200"/>
              <w:jc w:val="center"/>
              <w:rPr>
                <w:rFonts w:hint="eastAsia" w:ascii="宋体" w:hAnsi="宋体" w:eastAsia="宋体" w:cs="宋体"/>
                <w:i w:val="0"/>
                <w:iCs w:val="0"/>
                <w:color w:val="000000"/>
                <w:sz w:val="18"/>
                <w:szCs w:val="18"/>
                <w:u w:val="none"/>
              </w:rPr>
            </w:pP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核查企业</w:t>
            </w:r>
            <w:r>
              <w:rPr>
                <w:rFonts w:hint="eastAsia" w:ascii="宋体" w:hAnsi="宋体" w:cs="宋体"/>
                <w:i w:val="0"/>
                <w:iCs w:val="0"/>
                <w:color w:val="000000"/>
                <w:kern w:val="0"/>
                <w:sz w:val="18"/>
                <w:szCs w:val="18"/>
                <w:u w:val="none"/>
                <w:lang w:val="en-US" w:eastAsia="zh-CN" w:bidi="ar"/>
              </w:rPr>
              <w:t>贷款</w:t>
            </w:r>
            <w:r>
              <w:rPr>
                <w:rFonts w:ascii="宋体" w:hAnsi="宋体" w:eastAsia="宋体" w:cs="宋体"/>
                <w:i w:val="0"/>
                <w:iCs w:val="0"/>
                <w:color w:val="000000"/>
                <w:kern w:val="0"/>
                <w:sz w:val="18"/>
                <w:szCs w:val="18"/>
                <w:u w:val="none"/>
                <w:lang w:val="en-US" w:eastAsia="zh-CN" w:bidi="ar"/>
              </w:rPr>
              <w:t>余额、</w:t>
            </w:r>
            <w:r>
              <w:rPr>
                <w:rFonts w:hint="eastAsia" w:ascii="宋体" w:hAnsi="宋体" w:cs="宋体"/>
                <w:i w:val="0"/>
                <w:iCs w:val="0"/>
                <w:color w:val="000000"/>
                <w:kern w:val="0"/>
                <w:sz w:val="18"/>
                <w:szCs w:val="18"/>
                <w:u w:val="none"/>
                <w:lang w:val="en-US" w:eastAsia="zh-CN" w:bidi="ar"/>
              </w:rPr>
              <w:t>不良贷款</w:t>
            </w:r>
            <w:r>
              <w:rPr>
                <w:rFonts w:ascii="宋体" w:hAnsi="宋体" w:eastAsia="宋体" w:cs="宋体"/>
                <w:i w:val="0"/>
                <w:iCs w:val="0"/>
                <w:color w:val="000000"/>
                <w:kern w:val="0"/>
                <w:sz w:val="18"/>
                <w:szCs w:val="18"/>
                <w:u w:val="none"/>
                <w:lang w:val="en-US" w:eastAsia="zh-CN" w:bidi="ar"/>
              </w:rPr>
              <w:t>情况、、资产风险分类</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0"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76" w:lineRule="exact"/>
              <w:ind w:left="0" w:leftChars="0" w:firstLine="360" w:firstLineChars="200"/>
              <w:jc w:val="center"/>
              <w:rPr>
                <w:rFonts w:hint="eastAsia" w:ascii="宋体" w:hAnsi="宋体" w:eastAsia="宋体" w:cs="宋体"/>
                <w:i w:val="0"/>
                <w:iCs w:val="0"/>
                <w:color w:val="000000"/>
                <w:sz w:val="18"/>
                <w:szCs w:val="18"/>
                <w:u w:val="none"/>
              </w:rPr>
            </w:pPr>
          </w:p>
        </w:tc>
        <w:tc>
          <w:tcPr>
            <w:tcW w:w="1032"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出具</w:t>
            </w:r>
            <w:r>
              <w:rPr>
                <w:rFonts w:hint="eastAsia" w:ascii="宋体" w:hAnsi="宋体" w:cs="宋体"/>
                <w:i w:val="0"/>
                <w:iCs w:val="0"/>
                <w:color w:val="000000"/>
                <w:kern w:val="0"/>
                <w:sz w:val="18"/>
                <w:szCs w:val="18"/>
                <w:u w:val="none"/>
                <w:lang w:val="en-US" w:eastAsia="zh-CN" w:bidi="ar"/>
              </w:rPr>
              <w:t>检查</w:t>
            </w:r>
            <w:r>
              <w:rPr>
                <w:rFonts w:ascii="宋体" w:hAnsi="宋体" w:eastAsia="宋体" w:cs="宋体"/>
                <w:i w:val="0"/>
                <w:iCs w:val="0"/>
                <w:color w:val="000000"/>
                <w:kern w:val="0"/>
                <w:sz w:val="18"/>
                <w:szCs w:val="18"/>
                <w:u w:val="none"/>
                <w:lang w:val="en-US" w:eastAsia="zh-CN" w:bidi="ar"/>
              </w:rPr>
              <w:t>报告时间</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0"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76" w:lineRule="exact"/>
              <w:ind w:left="0" w:leftChars="0" w:firstLine="360" w:firstLineChars="200"/>
              <w:jc w:val="center"/>
              <w:rPr>
                <w:rFonts w:hint="eastAsia" w:ascii="宋体" w:hAnsi="宋体" w:eastAsia="宋体" w:cs="宋体"/>
                <w:i w:val="0"/>
                <w:iCs w:val="0"/>
                <w:color w:val="000000"/>
                <w:sz w:val="18"/>
                <w:szCs w:val="18"/>
                <w:u w:val="none"/>
              </w:rPr>
            </w:pPr>
          </w:p>
        </w:tc>
        <w:tc>
          <w:tcPr>
            <w:tcW w:w="1032"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76" w:lineRule="exact"/>
              <w:ind w:left="0" w:leftChars="0" w:firstLine="360" w:firstLineChars="200"/>
              <w:jc w:val="center"/>
              <w:rPr>
                <w:rFonts w:hint="eastAsia" w:ascii="宋体" w:hAnsi="宋体" w:eastAsia="宋体" w:cs="宋体"/>
                <w:i w:val="0"/>
                <w:iCs w:val="0"/>
                <w:color w:val="000000"/>
                <w:sz w:val="18"/>
                <w:szCs w:val="18"/>
                <w:u w:val="none"/>
              </w:rPr>
            </w:pP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审计追溯时间</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670"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经营是否符合</w:t>
            </w:r>
            <w:r>
              <w:rPr>
                <w:rFonts w:hint="eastAsia" w:ascii="宋体" w:hAnsi="宋体" w:cs="宋体"/>
                <w:i w:val="0"/>
                <w:iCs w:val="0"/>
                <w:color w:val="000000"/>
                <w:kern w:val="0"/>
                <w:sz w:val="18"/>
                <w:szCs w:val="18"/>
                <w:u w:val="none"/>
                <w:lang w:val="en-US" w:eastAsia="zh-CN" w:bidi="ar"/>
              </w:rPr>
              <w:t>小贷贷款公司</w:t>
            </w:r>
            <w:r>
              <w:rPr>
                <w:rFonts w:ascii="宋体" w:hAnsi="宋体" w:eastAsia="宋体" w:cs="宋体"/>
                <w:i w:val="0"/>
                <w:iCs w:val="0"/>
                <w:color w:val="000000"/>
                <w:kern w:val="0"/>
                <w:sz w:val="18"/>
                <w:szCs w:val="18"/>
                <w:u w:val="none"/>
                <w:lang w:val="en-US" w:eastAsia="zh-CN" w:bidi="ar"/>
              </w:rPr>
              <w:t>等相关要求</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0"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bidi w:val="0"/>
              <w:spacing w:line="576" w:lineRule="exact"/>
              <w:ind w:left="0" w:leftChars="0" w:firstLine="360" w:firstLineChars="200"/>
              <w:jc w:val="center"/>
              <w:rPr>
                <w:rFonts w:hint="eastAsia" w:ascii="宋体" w:hAnsi="宋体" w:eastAsia="宋体" w:cs="宋体"/>
                <w:i w:val="0"/>
                <w:iCs w:val="0"/>
                <w:color w:val="000000"/>
                <w:sz w:val="18"/>
                <w:szCs w:val="18"/>
                <w:u w:val="none"/>
              </w:rPr>
            </w:pP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w:t>
            </w:r>
            <w:r>
              <w:rPr>
                <w:rFonts w:hint="eastAsia" w:ascii="宋体" w:hAnsi="宋体" w:cs="宋体"/>
                <w:i w:val="0"/>
                <w:iCs w:val="0"/>
                <w:color w:val="000000"/>
                <w:kern w:val="0"/>
                <w:sz w:val="18"/>
                <w:szCs w:val="18"/>
                <w:u w:val="none"/>
                <w:lang w:val="en-US" w:eastAsia="zh-CN" w:bidi="ar"/>
              </w:rPr>
              <w:t>省局</w:t>
            </w:r>
            <w:r>
              <w:rPr>
                <w:rFonts w:ascii="宋体" w:hAnsi="宋体" w:eastAsia="宋体" w:cs="宋体"/>
                <w:i w:val="0"/>
                <w:iCs w:val="0"/>
                <w:color w:val="000000"/>
                <w:kern w:val="0"/>
                <w:sz w:val="18"/>
                <w:szCs w:val="18"/>
                <w:u w:val="none"/>
                <w:lang w:val="en-US" w:eastAsia="zh-CN" w:bidi="ar"/>
              </w:rPr>
              <w:t>提供</w:t>
            </w:r>
            <w:r>
              <w:rPr>
                <w:rFonts w:hint="eastAsia" w:ascii="宋体" w:hAnsi="宋体" w:cs="宋体"/>
                <w:i w:val="0"/>
                <w:iCs w:val="0"/>
                <w:color w:val="000000"/>
                <w:kern w:val="0"/>
                <w:sz w:val="18"/>
                <w:szCs w:val="18"/>
                <w:u w:val="none"/>
                <w:lang w:val="en-US" w:eastAsia="zh-CN" w:bidi="ar"/>
              </w:rPr>
              <w:t>全市小贷公司经营状况</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出具合格的、高质量的</w:t>
            </w:r>
            <w:r>
              <w:rPr>
                <w:rFonts w:hint="eastAsia" w:ascii="宋体" w:hAnsi="宋体" w:cs="宋体"/>
                <w:i w:val="0"/>
                <w:iCs w:val="0"/>
                <w:color w:val="000000"/>
                <w:kern w:val="0"/>
                <w:sz w:val="18"/>
                <w:szCs w:val="18"/>
                <w:u w:val="none"/>
                <w:lang w:val="en-US" w:eastAsia="zh-CN" w:bidi="ar"/>
              </w:rPr>
              <w:t>检查</w:t>
            </w:r>
            <w:r>
              <w:rPr>
                <w:rFonts w:ascii="宋体" w:hAnsi="宋体" w:eastAsia="宋体" w:cs="宋体"/>
                <w:i w:val="0"/>
                <w:iCs w:val="0"/>
                <w:color w:val="000000"/>
                <w:kern w:val="0"/>
                <w:sz w:val="18"/>
                <w:szCs w:val="18"/>
                <w:u w:val="none"/>
                <w:lang w:val="en-US" w:eastAsia="zh-CN" w:bidi="ar"/>
              </w:rPr>
              <w:t>报告</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67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3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70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检查</w:t>
            </w:r>
            <w:r>
              <w:rPr>
                <w:rFonts w:ascii="宋体" w:hAnsi="宋体" w:eastAsia="宋体" w:cs="宋体"/>
                <w:i w:val="0"/>
                <w:iCs w:val="0"/>
                <w:color w:val="000000"/>
                <w:kern w:val="0"/>
                <w:sz w:val="18"/>
                <w:szCs w:val="18"/>
                <w:u w:val="none"/>
                <w:lang w:val="en-US" w:eastAsia="zh-CN" w:bidi="ar"/>
              </w:rPr>
              <w:t>费用</w:t>
            </w:r>
          </w:p>
        </w:tc>
        <w:tc>
          <w:tcPr>
            <w:tcW w:w="59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1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7</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spacing w:line="576" w:lineRule="exact"/>
              <w:ind w:left="0" w:leftChars="0" w:firstLine="360" w:firstLineChars="20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r>
    </w:tbl>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（一）评价目的。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val="zh-CN" w:eastAsia="zh-CN"/>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pStyle w:val="5"/>
        <w:keepNext w:val="0"/>
        <w:keepLines w:val="0"/>
        <w:pageBreakBefore w:val="0"/>
        <w:kinsoku/>
        <w:wordWrap/>
        <w:overflowPunct/>
        <w:topLinePunct w:val="0"/>
        <w:autoSpaceDE/>
        <w:autoSpaceDN/>
        <w:bidi w:val="0"/>
        <w:spacing w:line="576" w:lineRule="exact"/>
        <w:ind w:left="0" w:leftChars="0" w:firstLine="640" w:firstLineChars="200"/>
        <w:rPr>
          <w:rFonts w:hint="default"/>
          <w:lang w:val="en-US"/>
        </w:rPr>
      </w:pPr>
      <w:r>
        <w:rPr>
          <w:rFonts w:hint="eastAsia" w:ascii="仿宋_GB2312" w:hAnsi="仿宋_GB2312" w:eastAsia="仿宋_GB2312" w:cs="仿宋_GB2312"/>
          <w:sz w:val="32"/>
          <w:szCs w:val="32"/>
          <w:lang w:val="zh-CN" w:eastAsia="zh-CN"/>
        </w:rPr>
        <w:t>预设问题：</w:t>
      </w:r>
      <w:r>
        <w:rPr>
          <w:rFonts w:hint="eastAsia" w:ascii="仿宋_GB2312" w:hAnsi="仿宋_GB2312" w:eastAsia="仿宋_GB2312" w:cs="仿宋_GB2312"/>
          <w:sz w:val="32"/>
          <w:szCs w:val="32"/>
          <w:lang w:val="en-US" w:eastAsia="zh-CN"/>
        </w:rPr>
        <w:t>会计事务所是否按照省地方金融监督管理局的要求出具公正、明确的报告。</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pStyle w:val="5"/>
        <w:keepNext w:val="0"/>
        <w:keepLines w:val="0"/>
        <w:pageBreakBefore w:val="0"/>
        <w:numPr>
          <w:ilvl w:val="0"/>
          <w:numId w:val="0"/>
        </w:numPr>
        <w:kinsoku/>
        <w:wordWrap/>
        <w:overflowPunct/>
        <w:topLinePunct w:val="0"/>
        <w:autoSpaceDE/>
        <w:autoSpaceDN/>
        <w:bidi w:val="0"/>
        <w:spacing w:line="576" w:lineRule="exact"/>
        <w:ind w:left="0" w:leftChars="0"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12家小贷公司的合规性检查报告、工作底稿。</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lang w:val="zh-CN" w:eastAsia="zh-CN"/>
        </w:rPr>
      </w:pPr>
      <w:r>
        <w:rPr>
          <w:rFonts w:hint="default" w:ascii="仿宋_GB2312" w:hAnsi="仿宋_GB2312" w:eastAsia="仿宋_GB2312" w:cs="仿宋_GB2312"/>
          <w:sz w:val="32"/>
          <w:szCs w:val="32"/>
          <w:lang w:val="en-US" w:eastAsia="zh-CN"/>
        </w:rPr>
        <w:t>自评采用定量与定性评价相结合的比较法。</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（五）评价组织。</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val="en-US" w:eastAsia="zh-CN"/>
        </w:rPr>
        <w:t>局</w:t>
      </w:r>
      <w:r>
        <w:rPr>
          <w:rFonts w:hint="default" w:ascii="仿宋_GB2312" w:hAnsi="仿宋_GB2312" w:eastAsia="仿宋_GB2312" w:cs="仿宋_GB2312"/>
          <w:sz w:val="32"/>
          <w:szCs w:val="32"/>
          <w:lang w:val="en-US" w:eastAsia="zh-CN"/>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sz w:val="32"/>
          <w:szCs w:val="32"/>
          <w:lang w:val="en-US" w:eastAsia="zh-CN"/>
        </w:rPr>
        <w:t>局办公室</w:t>
      </w:r>
      <w:r>
        <w:rPr>
          <w:rFonts w:hint="default" w:ascii="仿宋_GB2312" w:hAnsi="仿宋_GB2312" w:eastAsia="仿宋_GB2312" w:cs="仿宋_GB2312"/>
          <w:sz w:val="32"/>
          <w:szCs w:val="32"/>
          <w:lang w:val="en-US" w:eastAsia="zh-CN"/>
        </w:rPr>
        <w:t>收集整理</w:t>
      </w:r>
      <w:r>
        <w:rPr>
          <w:rFonts w:hint="eastAsia" w:ascii="仿宋_GB2312" w:hAnsi="仿宋_GB2312" w:eastAsia="仿宋_GB2312" w:cs="仿宋_GB2312"/>
          <w:sz w:val="32"/>
          <w:szCs w:val="32"/>
          <w:lang w:val="en-US" w:eastAsia="zh-CN"/>
        </w:rPr>
        <w:t>该项目</w:t>
      </w:r>
      <w:r>
        <w:rPr>
          <w:rFonts w:hint="default" w:ascii="仿宋_GB2312" w:hAnsi="仿宋_GB2312" w:eastAsia="仿宋_GB2312" w:cs="仿宋_GB2312"/>
          <w:sz w:val="32"/>
          <w:szCs w:val="32"/>
          <w:lang w:val="en-US" w:eastAsia="zh-CN"/>
        </w:rPr>
        <w:t>数据，落实项目实施、运行及资金使用情况，并对所有数据材料进行汇总、分析，形成绩效自评报告。</w:t>
      </w:r>
    </w:p>
    <w:p>
      <w:pPr>
        <w:keepNext w:val="0"/>
        <w:keepLines w:val="0"/>
        <w:pageBreakBefore w:val="0"/>
        <w:suppressAutoHyphens/>
        <w:kinsoku/>
        <w:wordWrap/>
        <w:overflowPunct/>
        <w:topLinePunct w:val="0"/>
        <w:autoSpaceDE/>
        <w:autoSpaceDN/>
        <w:bidi w:val="0"/>
        <w:adjustRightInd w:val="0"/>
        <w:snapToGrid w:val="0"/>
        <w:spacing w:line="576" w:lineRule="exact"/>
        <w:ind w:left="0" w:leftChars="0"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根据</w:t>
      </w:r>
      <w:r>
        <w:rPr>
          <w:rFonts w:hint="eastAsia" w:ascii="仿宋_GB2312" w:hAnsi="仿宋_GB2312" w:eastAsia="仿宋_GB2312" w:cs="仿宋_GB2312"/>
          <w:sz w:val="32"/>
          <w:szCs w:val="32"/>
          <w:lang w:val="en-US" w:eastAsia="zh-CN"/>
        </w:rPr>
        <w:t>省地方金融监督管理局</w:t>
      </w:r>
      <w:r>
        <w:rPr>
          <w:rFonts w:hint="eastAsia" w:ascii="仿宋_GB2312" w:hAnsi="仿宋_GB2312" w:eastAsia="仿宋_GB2312" w:cs="仿宋_GB2312"/>
          <w:b w:val="0"/>
          <w:bCs w:val="0"/>
          <w:color w:val="auto"/>
          <w:kern w:val="0"/>
          <w:position w:val="0"/>
          <w:sz w:val="32"/>
          <w:szCs w:val="32"/>
          <w:highlight w:val="none"/>
          <w:lang w:val="en-US" w:eastAsia="zh-CN" w:bidi="ar-SA"/>
        </w:rPr>
        <w:t>的安排每年12月左右对小贷公司经营情况进行检查，该项目纳入市金融工作局年初预算7万元。</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地方金融科为该项目的主管科室，负责全市小额贷款公司的监督管理，通过竞争性谈判的方式选取1家会计事务所对全市融资担保公司进行审计。</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按照《四川省地方金融监</w:t>
      </w:r>
      <w:r>
        <w:rPr>
          <w:rFonts w:hint="eastAsia" w:ascii="仿宋_GB2312" w:hAnsi="仿宋_GB2312" w:eastAsia="仿宋_GB2312" w:cs="仿宋_GB2312"/>
          <w:sz w:val="32"/>
          <w:szCs w:val="32"/>
          <w:lang w:eastAsia="zh-CN"/>
        </w:rPr>
        <w:t>督</w:t>
      </w:r>
      <w:r>
        <w:rPr>
          <w:rFonts w:hint="eastAsia" w:ascii="仿宋_GB2312" w:hAnsi="仿宋_GB2312" w:eastAsia="仿宋_GB2312" w:cs="仿宋_GB2312"/>
          <w:sz w:val="32"/>
          <w:szCs w:val="32"/>
        </w:rPr>
        <w:t>管</w:t>
      </w:r>
      <w:r>
        <w:rPr>
          <w:rFonts w:hint="eastAsia" w:ascii="仿宋_GB2312" w:hAnsi="仿宋_GB2312" w:eastAsia="仿宋_GB2312" w:cs="仿宋_GB2312"/>
          <w:sz w:val="32"/>
          <w:szCs w:val="32"/>
          <w:lang w:eastAsia="zh-CN"/>
        </w:rPr>
        <w:t>理</w:t>
      </w:r>
      <w:r>
        <w:rPr>
          <w:rFonts w:hint="eastAsia" w:ascii="仿宋_GB2312" w:hAnsi="仿宋_GB2312" w:eastAsia="仿宋_GB2312" w:cs="仿宋_GB2312"/>
          <w:sz w:val="32"/>
          <w:szCs w:val="32"/>
        </w:rPr>
        <w:t>局关于开展全省小额贷款公司202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年度合规经营检查的通知》（川金函</w:t>
      </w:r>
      <w:r>
        <w:rPr>
          <w:rFonts w:hint="eastAsia" w:ascii="方正隶书_GBK" w:hAnsi="方正隶书_GBK" w:eastAsia="方正隶书_GBK" w:cs="方正隶书_GBK"/>
          <w:sz w:val="32"/>
          <w:szCs w:val="32"/>
        </w:rPr>
        <w:t>〔</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方正隶书_GBK" w:hAnsi="方正隶书_GBK" w:eastAsia="方正隶书_GBK" w:cs="方正隶书_GBK"/>
          <w:sz w:val="32"/>
          <w:szCs w:val="32"/>
        </w:rPr>
        <w:t>〕</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6号）要求，我</w:t>
      </w:r>
      <w:r>
        <w:rPr>
          <w:rFonts w:hint="eastAsia" w:ascii="仿宋_GB2312" w:hAnsi="仿宋_GB2312" w:eastAsia="仿宋_GB2312" w:cs="仿宋_GB2312"/>
          <w:sz w:val="32"/>
          <w:szCs w:val="32"/>
          <w:lang w:eastAsia="zh-CN"/>
        </w:rPr>
        <w:t>局通过公开招标方式选</w:t>
      </w:r>
      <w:r>
        <w:rPr>
          <w:rFonts w:hint="eastAsia" w:ascii="仿宋_GB2312" w:hAnsi="仿宋_GB2312" w:eastAsia="仿宋_GB2312" w:cs="仿宋_GB2312"/>
          <w:sz w:val="32"/>
          <w:szCs w:val="32"/>
        </w:rPr>
        <w:t>聘</w:t>
      </w:r>
      <w:r>
        <w:rPr>
          <w:rFonts w:hint="eastAsia" w:ascii="仿宋_GB2312" w:hAnsi="仿宋_GB2312" w:eastAsia="仿宋_GB2312" w:cs="仿宋_GB2312"/>
          <w:sz w:val="32"/>
          <w:szCs w:val="32"/>
          <w:lang w:eastAsia="zh-CN"/>
        </w:rPr>
        <w:t>四川绍雅会计师事务所有限责任公司作为第三方机构，由我局牵头</w:t>
      </w:r>
      <w:r>
        <w:rPr>
          <w:rFonts w:hint="eastAsia" w:ascii="仿宋_GB2312" w:hAnsi="仿宋_GB2312" w:eastAsia="仿宋_GB2312" w:cs="仿宋_GB2312"/>
          <w:sz w:val="32"/>
          <w:szCs w:val="32"/>
        </w:rPr>
        <w:t>组成联合检查组，于202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日至2023年1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日，对全市小额贷款公司20</w:t>
      </w:r>
      <w:r>
        <w:rPr>
          <w:rFonts w:hint="default" w:ascii="仿宋_GB2312" w:hAnsi="仿宋_GB2312" w:eastAsia="仿宋_GB2312" w:cs="仿宋_GB2312"/>
          <w:sz w:val="32"/>
          <w:szCs w:val="32"/>
          <w:lang w:val="en"/>
        </w:rPr>
        <w:t>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至</w:t>
      </w:r>
      <w:r>
        <w:rPr>
          <w:rFonts w:hint="eastAsia" w:ascii="仿宋_GB2312" w:hAnsi="仿宋_GB2312" w:eastAsia="仿宋_GB2312" w:cs="仿宋_GB2312"/>
          <w:sz w:val="32"/>
          <w:szCs w:val="32"/>
          <w:lang w:val="en-US" w:eastAsia="zh-CN"/>
        </w:rPr>
        <w:t>2023年上半年</w:t>
      </w:r>
      <w:r>
        <w:rPr>
          <w:rFonts w:hint="eastAsia" w:ascii="仿宋_GB2312" w:hAnsi="仿宋_GB2312" w:eastAsia="仿宋_GB2312" w:cs="仿宋_GB2312"/>
          <w:sz w:val="32"/>
          <w:szCs w:val="32"/>
        </w:rPr>
        <w:t>的内部治理、经营状况、监管配合、问题整改落实等情况进行了全面检查</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sz w:val="32"/>
          <w:szCs w:val="32"/>
          <w:lang w:eastAsia="zh-CN"/>
        </w:rPr>
        <w:t>四川绍雅会计师事务所有限责任公司在规定的时间内完成检查，并按照要求完成</w:t>
      </w:r>
      <w:r>
        <w:rPr>
          <w:rFonts w:hint="eastAsia" w:ascii="仿宋_GB2312" w:hAnsi="仿宋_GB2312" w:eastAsia="仿宋_GB2312" w:cs="仿宋_GB2312"/>
          <w:sz w:val="32"/>
          <w:szCs w:val="32"/>
          <w:lang w:val="en-US" w:eastAsia="zh-CN"/>
        </w:rPr>
        <w:t>12家公司的检查报告和工作底稿</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r>
        <w:rPr>
          <w:rFonts w:hint="eastAsia" w:ascii="仿宋_GB2312" w:hAnsi="仿宋_GB2312" w:eastAsia="仿宋_GB2312" w:cs="仿宋_GB2312"/>
          <w:color w:val="auto"/>
          <w:kern w:val="0"/>
          <w:sz w:val="32"/>
          <w:szCs w:val="32"/>
          <w:highlight w:val="none"/>
          <w:u w:val="none"/>
          <w:shd w:val="clear" w:color="auto" w:fill="auto"/>
          <w:lang w:val="en-US" w:eastAsia="zh-CN"/>
        </w:rPr>
        <w:t>全市小额</w:t>
      </w:r>
      <w:r>
        <w:rPr>
          <w:rFonts w:hint="eastAsia" w:ascii="仿宋_GB2312" w:hAnsi="仿宋_GB2312" w:eastAsia="仿宋_GB2312" w:cs="仿宋_GB2312"/>
          <w:color w:val="auto"/>
          <w:kern w:val="0"/>
          <w:sz w:val="32"/>
          <w:szCs w:val="32"/>
          <w:highlight w:val="none"/>
          <w:u w:val="none"/>
          <w:shd w:val="clear" w:color="auto" w:fill="auto"/>
          <w:lang w:val="en"/>
        </w:rPr>
        <w:t>贷款</w:t>
      </w:r>
      <w:r>
        <w:rPr>
          <w:rFonts w:hint="eastAsia" w:ascii="仿宋_GB2312" w:hAnsi="仿宋_GB2312" w:eastAsia="仿宋_GB2312" w:cs="仿宋_GB2312"/>
          <w:color w:val="auto"/>
          <w:kern w:val="0"/>
          <w:sz w:val="32"/>
          <w:szCs w:val="32"/>
          <w:highlight w:val="none"/>
          <w:u w:val="none"/>
          <w:shd w:val="clear" w:color="auto" w:fill="auto"/>
          <w:lang w:val="en-US" w:eastAsia="zh-CN"/>
        </w:rPr>
        <w:t>机构在贷</w:t>
      </w:r>
      <w:r>
        <w:rPr>
          <w:rFonts w:hint="eastAsia" w:ascii="仿宋_GB2312" w:hAnsi="仿宋_GB2312" w:eastAsia="仿宋_GB2312" w:cs="仿宋_GB2312"/>
          <w:color w:val="auto"/>
          <w:kern w:val="0"/>
          <w:sz w:val="32"/>
          <w:szCs w:val="32"/>
          <w:highlight w:val="none"/>
          <w:u w:val="none"/>
          <w:shd w:val="clear" w:color="auto" w:fill="auto"/>
          <w:lang w:val="en"/>
        </w:rPr>
        <w:t>余额13.1</w:t>
      </w:r>
      <w:r>
        <w:rPr>
          <w:rFonts w:hint="eastAsia" w:ascii="仿宋_GB2312" w:hAnsi="仿宋_GB2312" w:eastAsia="仿宋_GB2312" w:cs="仿宋_GB2312"/>
          <w:color w:val="auto"/>
          <w:kern w:val="0"/>
          <w:sz w:val="32"/>
          <w:szCs w:val="32"/>
          <w:highlight w:val="none"/>
          <w:u w:val="none"/>
          <w:shd w:val="clear" w:color="auto" w:fill="auto"/>
          <w:lang w:val="en-US" w:eastAsia="zh-CN"/>
        </w:rPr>
        <w:t>9</w:t>
      </w:r>
      <w:r>
        <w:rPr>
          <w:rFonts w:hint="eastAsia" w:ascii="仿宋_GB2312" w:hAnsi="仿宋_GB2312" w:eastAsia="仿宋_GB2312" w:cs="仿宋_GB2312"/>
          <w:color w:val="auto"/>
          <w:kern w:val="0"/>
          <w:sz w:val="32"/>
          <w:szCs w:val="32"/>
          <w:highlight w:val="none"/>
          <w:u w:val="none"/>
          <w:shd w:val="clear" w:color="auto" w:fill="auto"/>
          <w:lang w:val="en"/>
        </w:rPr>
        <w:t>亿元</w:t>
      </w:r>
      <w:r>
        <w:rPr>
          <w:rFonts w:hint="eastAsia" w:ascii="仿宋_GB2312" w:hAnsi="仿宋_GB2312" w:eastAsia="仿宋_GB2312" w:cs="仿宋_GB2312"/>
          <w:color w:val="auto"/>
          <w:kern w:val="0"/>
          <w:sz w:val="32"/>
          <w:szCs w:val="32"/>
          <w:highlight w:val="none"/>
          <w:u w:val="none"/>
          <w:shd w:val="clear" w:color="auto" w:fill="auto"/>
          <w:lang w:val="en" w:eastAsia="zh-CN"/>
        </w:rPr>
        <w:t>；</w:t>
      </w:r>
      <w:r>
        <w:rPr>
          <w:rFonts w:hint="eastAsia" w:ascii="仿宋_GB2312" w:hAnsi="仿宋_GB2312" w:eastAsia="仿宋_GB2312" w:cs="仿宋_GB2312"/>
          <w:color w:val="auto"/>
          <w:kern w:val="0"/>
          <w:sz w:val="32"/>
          <w:szCs w:val="32"/>
          <w:highlight w:val="none"/>
          <w:u w:val="none"/>
          <w:shd w:val="clear" w:color="auto" w:fill="auto"/>
          <w:lang w:val="en-US" w:eastAsia="zh-CN"/>
        </w:rPr>
        <w:t>在贷</w:t>
      </w:r>
      <w:r>
        <w:rPr>
          <w:rFonts w:hint="eastAsia" w:ascii="仿宋_GB2312" w:hAnsi="仿宋_GB2312" w:eastAsia="仿宋_GB2312" w:cs="仿宋_GB2312"/>
          <w:color w:val="auto"/>
          <w:kern w:val="0"/>
          <w:sz w:val="32"/>
          <w:szCs w:val="32"/>
          <w:highlight w:val="none"/>
          <w:u w:val="none"/>
          <w:shd w:val="clear" w:color="auto" w:fill="auto"/>
          <w:lang w:val="en"/>
        </w:rPr>
        <w:t>户数</w:t>
      </w:r>
      <w:r>
        <w:rPr>
          <w:rFonts w:hint="eastAsia" w:ascii="仿宋_GB2312" w:hAnsi="仿宋_GB2312" w:eastAsia="仿宋_GB2312" w:cs="仿宋_GB2312"/>
          <w:color w:val="auto"/>
          <w:kern w:val="0"/>
          <w:sz w:val="32"/>
          <w:szCs w:val="32"/>
          <w:highlight w:val="none"/>
          <w:u w:val="none"/>
          <w:shd w:val="clear" w:color="auto" w:fill="auto"/>
          <w:lang w:val="en-US" w:eastAsia="zh-CN"/>
        </w:rPr>
        <w:t>2831</w:t>
      </w:r>
      <w:r>
        <w:rPr>
          <w:rFonts w:hint="eastAsia" w:ascii="仿宋_GB2312" w:hAnsi="仿宋_GB2312" w:eastAsia="仿宋_GB2312" w:cs="仿宋_GB2312"/>
          <w:color w:val="auto"/>
          <w:kern w:val="0"/>
          <w:sz w:val="32"/>
          <w:szCs w:val="32"/>
          <w:highlight w:val="none"/>
          <w:u w:val="none"/>
          <w:shd w:val="clear" w:color="auto" w:fill="auto"/>
          <w:lang w:val="en"/>
        </w:rPr>
        <w:t>户</w:t>
      </w:r>
      <w:r>
        <w:rPr>
          <w:rFonts w:hint="eastAsia" w:ascii="仿宋_GB2312" w:hAnsi="仿宋_GB2312" w:eastAsia="仿宋_GB2312" w:cs="仿宋_GB2312"/>
          <w:color w:val="auto"/>
          <w:kern w:val="0"/>
          <w:sz w:val="32"/>
          <w:szCs w:val="32"/>
          <w:highlight w:val="none"/>
          <w:u w:val="none"/>
          <w:shd w:val="clear" w:color="auto" w:fill="auto"/>
          <w:lang w:val="en" w:eastAsia="zh-CN"/>
        </w:rPr>
        <w:t>，缴纳税费</w:t>
      </w:r>
      <w:r>
        <w:rPr>
          <w:rFonts w:hint="eastAsia" w:ascii="仿宋_GB2312" w:hAnsi="仿宋_GB2312" w:eastAsia="仿宋_GB2312" w:cs="仿宋_GB2312"/>
          <w:color w:val="auto"/>
          <w:kern w:val="0"/>
          <w:sz w:val="32"/>
          <w:szCs w:val="32"/>
          <w:highlight w:val="none"/>
          <w:u w:val="none"/>
          <w:shd w:val="clear" w:color="auto" w:fill="auto"/>
          <w:lang w:val="en-US" w:eastAsia="zh-CN"/>
        </w:rPr>
        <w:t>1千多万元</w:t>
      </w:r>
      <w:r>
        <w:rPr>
          <w:rFonts w:hint="eastAsia" w:ascii="楷体_GB2312" w:hAnsi="楷体_GB2312" w:eastAsia="楷体_GB2312" w:cs="楷体_GB2312"/>
          <w:color w:val="auto"/>
          <w:sz w:val="32"/>
          <w:szCs w:val="32"/>
          <w:lang w:val="en-US" w:eastAsia="zh-CN"/>
        </w:rPr>
        <w:t>。</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auto"/>
          <w:lang w:val="en-US" w:eastAsia="zh-CN"/>
        </w:rPr>
      </w:pPr>
      <w:r>
        <w:rPr>
          <w:rFonts w:hint="eastAsia" w:ascii="仿宋_GB2312" w:hAnsi="仿宋_GB2312" w:eastAsia="仿宋_GB2312" w:cs="仿宋_GB2312"/>
          <w:color w:val="auto"/>
          <w:kern w:val="0"/>
          <w:sz w:val="32"/>
          <w:szCs w:val="32"/>
          <w:highlight w:val="none"/>
          <w:u w:val="none"/>
          <w:shd w:val="clear" w:color="auto" w:fill="auto"/>
          <w:lang w:val="en-US" w:eastAsia="zh-CN"/>
        </w:rPr>
        <w:t>无</w:t>
      </w:r>
      <w:r>
        <w:rPr>
          <w:rFonts w:hint="eastAsia" w:ascii="仿宋_GB2312" w:hAnsi="仿宋_GB2312" w:eastAsia="仿宋_GB2312" w:cs="仿宋_GB2312"/>
          <w:color w:val="auto"/>
          <w:kern w:val="0"/>
          <w:sz w:val="32"/>
          <w:szCs w:val="32"/>
          <w:highlight w:val="none"/>
          <w:u w:val="none"/>
          <w:shd w:val="clear" w:color="auto" w:fill="auto"/>
          <w:lang w:val="zh-CN"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auto"/>
          <w:lang w:val="en-US" w:eastAsia="zh-CN"/>
        </w:rPr>
      </w:pPr>
      <w:r>
        <w:rPr>
          <w:rFonts w:hint="eastAsia" w:ascii="仿宋_GB2312" w:hAnsi="仿宋_GB2312" w:eastAsia="仿宋_GB2312" w:cs="仿宋_GB2312"/>
          <w:color w:val="auto"/>
          <w:kern w:val="0"/>
          <w:sz w:val="32"/>
          <w:szCs w:val="32"/>
          <w:highlight w:val="none"/>
          <w:u w:val="none"/>
          <w:shd w:val="clear" w:color="auto" w:fill="auto"/>
          <w:lang w:val="zh-CN" w:eastAsia="zh-CN"/>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（三）个性指标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auto"/>
          <w:lang w:val="en-US" w:eastAsia="zh-CN"/>
        </w:rPr>
      </w:pPr>
      <w:r>
        <w:rPr>
          <w:rFonts w:hint="eastAsia" w:ascii="仿宋_GB2312" w:hAnsi="仿宋_GB2312" w:eastAsia="仿宋_GB2312" w:cs="仿宋_GB2312"/>
          <w:color w:val="auto"/>
          <w:kern w:val="0"/>
          <w:sz w:val="32"/>
          <w:szCs w:val="32"/>
          <w:highlight w:val="none"/>
          <w:u w:val="none"/>
          <w:shd w:val="clear" w:color="auto" w:fill="auto"/>
          <w:lang w:val="en-US" w:eastAsia="zh-CN"/>
        </w:rPr>
        <w:t>无</w:t>
      </w:r>
      <w:r>
        <w:rPr>
          <w:rFonts w:hint="eastAsia" w:ascii="仿宋_GB2312" w:hAnsi="仿宋_GB2312" w:eastAsia="仿宋_GB2312" w:cs="仿宋_GB2312"/>
          <w:color w:val="auto"/>
          <w:kern w:val="0"/>
          <w:sz w:val="32"/>
          <w:szCs w:val="32"/>
          <w:highlight w:val="none"/>
          <w:u w:val="none"/>
          <w:shd w:val="clear" w:color="auto" w:fill="auto"/>
          <w:lang w:val="zh-CN" w:eastAsia="zh-CN"/>
        </w:rPr>
        <w:t>。</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auto"/>
          <w:lang w:val="en-US" w:eastAsia="zh-CN"/>
        </w:rPr>
      </w:pPr>
      <w:r>
        <w:rPr>
          <w:rFonts w:hint="eastAsia" w:ascii="仿宋_GB2312" w:hAnsi="仿宋_GB2312" w:eastAsia="仿宋_GB2312" w:cs="仿宋_GB2312"/>
          <w:color w:val="auto"/>
          <w:kern w:val="0"/>
          <w:sz w:val="32"/>
          <w:szCs w:val="32"/>
          <w:highlight w:val="none"/>
          <w:u w:val="none"/>
          <w:shd w:val="clear" w:color="auto" w:fill="auto"/>
          <w:lang w:val="en-US" w:eastAsia="zh-CN"/>
        </w:rPr>
        <w:t>按照</w:t>
      </w:r>
      <w:r>
        <w:rPr>
          <w:rFonts w:hint="eastAsia" w:ascii="仿宋_GB2312" w:hAnsi="仿宋_GB2312" w:eastAsia="仿宋_GB2312" w:cs="仿宋_GB2312"/>
          <w:sz w:val="32"/>
          <w:szCs w:val="32"/>
          <w:lang w:val="en-US" w:eastAsia="zh-CN"/>
        </w:rPr>
        <w:t>省地方金融监督管理局</w:t>
      </w:r>
      <w:r>
        <w:rPr>
          <w:rFonts w:hint="eastAsia" w:ascii="仿宋_GB2312" w:hAnsi="仿宋_GB2312" w:eastAsia="仿宋_GB2312" w:cs="仿宋_GB2312"/>
          <w:color w:val="auto"/>
          <w:kern w:val="0"/>
          <w:sz w:val="32"/>
          <w:szCs w:val="32"/>
          <w:highlight w:val="none"/>
          <w:u w:val="none"/>
          <w:shd w:val="clear" w:color="auto" w:fill="auto"/>
          <w:lang w:val="en-US" w:eastAsia="zh-CN"/>
        </w:rPr>
        <w:t>的要求，我局在</w:t>
      </w:r>
      <w:r>
        <w:rPr>
          <w:rFonts w:hint="eastAsia" w:ascii="仿宋_GB2312" w:hAnsi="仿宋_GB2312" w:eastAsia="仿宋_GB2312" w:cs="仿宋_GB2312"/>
          <w:color w:val="auto"/>
          <w:kern w:val="0"/>
          <w:sz w:val="32"/>
          <w:szCs w:val="32"/>
          <w:highlight w:val="none"/>
          <w:u w:val="none"/>
          <w:shd w:val="clear" w:color="auto" w:fill="auto"/>
          <w:lang w:val="zh-CN" w:eastAsia="zh-CN"/>
        </w:rPr>
        <w:t>四川绍雅会计师事务所有限责任公司的</w:t>
      </w:r>
      <w:r>
        <w:rPr>
          <w:rFonts w:hint="eastAsia" w:ascii="仿宋_GB2312" w:hAnsi="仿宋_GB2312" w:eastAsia="仿宋_GB2312" w:cs="仿宋_GB2312"/>
          <w:color w:val="auto"/>
          <w:kern w:val="0"/>
          <w:sz w:val="32"/>
          <w:szCs w:val="32"/>
          <w:highlight w:val="none"/>
          <w:u w:val="none"/>
          <w:shd w:val="clear" w:color="auto" w:fill="auto"/>
          <w:lang w:val="en-US" w:eastAsia="zh-CN"/>
        </w:rPr>
        <w:t>检查报告基础上完成了2023年度全市小额贷款公司合规经营检查情况的报告报送省地方金融管理局。</w:t>
      </w:r>
    </w:p>
    <w:p>
      <w:pPr>
        <w:keepNext w:val="0"/>
        <w:keepLines w:val="0"/>
        <w:pageBreakBefore w:val="0"/>
        <w:widowControl w:val="0"/>
        <w:numPr>
          <w:ilvl w:val="0"/>
          <w:numId w:val="12"/>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存在主要问题</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color w:val="auto"/>
          <w:kern w:val="0"/>
          <w:sz w:val="32"/>
          <w:szCs w:val="32"/>
          <w:highlight w:val="none"/>
          <w:u w:val="none"/>
          <w:shd w:val="clear" w:color="auto" w:fill="auto"/>
          <w:lang w:val="en-US" w:eastAsia="zh-CN"/>
        </w:rPr>
      </w:pPr>
      <w:r>
        <w:rPr>
          <w:rFonts w:hint="eastAsia" w:ascii="仿宋_GB2312" w:hAnsi="仿宋_GB2312" w:eastAsia="仿宋_GB2312" w:cs="仿宋_GB2312"/>
          <w:color w:val="auto"/>
          <w:kern w:val="0"/>
          <w:sz w:val="32"/>
          <w:szCs w:val="32"/>
          <w:highlight w:val="none"/>
          <w:u w:val="none"/>
          <w:shd w:val="clear" w:color="auto" w:fill="auto"/>
          <w:lang w:val="en-US" w:eastAsia="zh-CN"/>
        </w:rPr>
        <w:t xml:space="preserve">小贷公司检查出来的问题，推动整改情况难度较大。  </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kern w:val="0"/>
          <w:sz w:val="32"/>
          <w:szCs w:val="32"/>
          <w:highlight w:val="none"/>
          <w:u w:val="none"/>
          <w:shd w:val="clear" w:color="auto" w:fill="auto"/>
          <w:lang w:val="zh-CN" w:eastAsia="zh-CN"/>
        </w:rPr>
      </w:pPr>
      <w:r>
        <w:rPr>
          <w:rFonts w:hint="eastAsia" w:ascii="仿宋_GB2312" w:hAnsi="仿宋_GB2312" w:eastAsia="仿宋_GB2312" w:cs="仿宋_GB2312"/>
          <w:color w:val="auto"/>
          <w:kern w:val="0"/>
          <w:sz w:val="32"/>
          <w:szCs w:val="32"/>
          <w:highlight w:val="none"/>
          <w:u w:val="none"/>
          <w:shd w:val="clear" w:color="auto" w:fill="auto"/>
          <w:lang w:val="zh-CN" w:eastAsia="zh-CN"/>
        </w:rPr>
        <w:t>严格落实《四川省地方金融监督管理条例》等法律法规及</w:t>
      </w:r>
      <w:r>
        <w:rPr>
          <w:rFonts w:hint="eastAsia" w:ascii="仿宋_GB2312" w:hAnsi="仿宋_GB2312" w:eastAsia="仿宋_GB2312" w:cs="仿宋_GB2312"/>
          <w:sz w:val="32"/>
          <w:szCs w:val="32"/>
          <w:lang w:val="en-US" w:eastAsia="zh-CN"/>
        </w:rPr>
        <w:t>省地方金融监督管理局</w:t>
      </w:r>
      <w:r>
        <w:rPr>
          <w:rFonts w:hint="eastAsia" w:ascii="仿宋_GB2312" w:hAnsi="仿宋_GB2312" w:eastAsia="仿宋_GB2312" w:cs="仿宋_GB2312"/>
          <w:color w:val="auto"/>
          <w:kern w:val="0"/>
          <w:sz w:val="32"/>
          <w:szCs w:val="32"/>
          <w:highlight w:val="none"/>
          <w:u w:val="none"/>
          <w:shd w:val="clear" w:color="auto" w:fill="auto"/>
          <w:lang w:val="zh-CN" w:eastAsia="zh-CN"/>
        </w:rPr>
        <w:t>相关要求，进一步规范小额贷款公司合规经营，有效防控行业风险，促进行业健康持续发展。</w:t>
      </w:r>
    </w:p>
    <w:p>
      <w:pPr>
        <w:pStyle w:val="15"/>
        <w:numPr>
          <w:ilvl w:val="0"/>
          <w:numId w:val="0"/>
        </w:numPr>
      </w:pPr>
    </w:p>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(两新组织党建工作经费)</w:t>
      </w:r>
    </w:p>
    <w:p>
      <w:pPr>
        <w:keepNext w:val="0"/>
        <w:keepLines w:val="0"/>
        <w:pageBreakBefore w:val="0"/>
        <w:widowControl w:val="0"/>
        <w:kinsoku/>
        <w:wordWrap/>
        <w:overflowPunct/>
        <w:topLinePunct w:val="0"/>
        <w:autoSpaceDE/>
        <w:autoSpaceDN/>
        <w:bidi w:val="0"/>
        <w:spacing w:line="576" w:lineRule="exact"/>
        <w:ind w:firstLine="640" w:firstLineChars="20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13"/>
        </w:numPr>
        <w:kinsoku/>
        <w:wordWrap/>
        <w:overflowPunct/>
        <w:topLinePunct w:val="0"/>
        <w:autoSpaceDE/>
        <w:autoSpaceDN/>
        <w:bidi w:val="0"/>
        <w:adjustRightInd w:val="0"/>
        <w:snapToGrid w:val="0"/>
        <w:spacing w:line="576" w:lineRule="exact"/>
        <w:ind w:firstLine="640" w:firstLineChars="200"/>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snapToGrid w:val="0"/>
        <w:spacing w:line="576" w:lineRule="exact"/>
        <w:ind w:firstLine="640" w:firstLineChars="200"/>
        <w:textAlignment w:val="auto"/>
        <w:rPr>
          <w:rFonts w:hint="eastAsia" w:ascii="Times New Roman" w:hAnsi="Times New Roman" w:eastAsia="仿宋_GB2312" w:cs="Times New Roman"/>
          <w:bCs/>
          <w:sz w:val="32"/>
          <w:szCs w:val="32"/>
          <w:highlight w:val="none"/>
          <w:u w:val="none"/>
          <w:lang w:val="zh-CN" w:eastAsia="zh-CN"/>
        </w:rPr>
      </w:pPr>
      <w:r>
        <w:rPr>
          <w:rFonts w:hint="eastAsia" w:ascii="Times New Roman" w:hAnsi="Times New Roman" w:eastAsia="仿宋_GB2312" w:cs="Times New Roman"/>
          <w:bCs/>
          <w:sz w:val="32"/>
          <w:szCs w:val="32"/>
          <w:highlight w:val="none"/>
          <w:u w:val="none"/>
          <w:lang w:val="zh-CN" w:eastAsia="zh-CN"/>
        </w:rPr>
        <w:t>两新组织党建工作经费主管部门为地方金融科，在该项目管理中的职能：</w:t>
      </w:r>
      <w:r>
        <w:rPr>
          <w:rFonts w:hint="eastAsia" w:ascii="仿宋_GB2312" w:hAnsi="宋体" w:eastAsia="仿宋_GB2312" w:cs="Times New Roman"/>
          <w:sz w:val="32"/>
          <w:szCs w:val="32"/>
          <w:lang w:eastAsia="zh-CN"/>
        </w:rPr>
        <w:t>扎实摸排“两新”组织党建工作基本情况，对全市31家地方金融组织党建工作开展摸排，摸清“家底”</w:t>
      </w:r>
      <w:r>
        <w:rPr>
          <w:rFonts w:hint="eastAsia" w:ascii="Times New Roman" w:hAnsi="Times New Roman" w:eastAsia="仿宋_GB2312" w:cs="Times New Roman"/>
          <w:bCs/>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cs="Times New Roman"/>
          <w:sz w:val="32"/>
          <w:szCs w:val="32"/>
          <w:lang w:eastAsia="zh-CN"/>
        </w:rPr>
      </w:pPr>
      <w:r>
        <w:rPr>
          <w:rFonts w:hint="eastAsia" w:ascii="仿宋_GB2312" w:hAnsi="宋体" w:eastAsia="仿宋_GB2312" w:cs="Times New Roman"/>
          <w:sz w:val="32"/>
          <w:szCs w:val="32"/>
          <w:lang w:eastAsia="zh-CN"/>
        </w:rPr>
        <w:t>对已建有基层党支部的地方金融组织，指导支部发展预备党员；对没有基层党支部的17家民营地方金融组织，深入查找“隐性党员”“口袋党员”，瞄准没有党员或只有个别党员的企业实施培育，推动地方金融组织行业未建立党组织的两新组织和未纳入组织管理的流动党员动态“清零”</w:t>
      </w:r>
      <w:r>
        <w:rPr>
          <w:rFonts w:hint="eastAsia" w:ascii="仿宋_GB2312" w:hAnsi="宋体"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项目预算资金不超过0.5万元，资金用于差旅费、会议费、宣传费、培训费等。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47"/>
        <w:gridCol w:w="1384"/>
        <w:gridCol w:w="3290"/>
        <w:gridCol w:w="1152"/>
        <w:gridCol w:w="958"/>
        <w:gridCol w:w="6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两新组织党建工作开展次数</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指导地方金融组织党建开展</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地方金融组织成立两新组织时限</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对地方金融组织党建引领全覆盖</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市委组织部对我局开展两新组织党建活动满意度</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61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1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9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两新组织党建工作经费合计</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6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40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bl>
    <w:p>
      <w:pPr>
        <w:pStyle w:val="27"/>
        <w:rPr>
          <w:rFonts w:hint="eastAsia"/>
          <w:lang w:val="zh-CN" w:eastAsia="zh-CN"/>
        </w:rPr>
      </w:pP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（一）评价目的。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val="zh-CN" w:eastAsia="zh-CN"/>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pStyle w:val="5"/>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default"/>
          <w:lang w:val="en-US"/>
        </w:rPr>
      </w:pPr>
      <w:r>
        <w:rPr>
          <w:rFonts w:hint="eastAsia" w:ascii="仿宋_GB2312" w:hAnsi="仿宋_GB2312" w:eastAsia="仿宋_GB2312" w:cs="仿宋_GB2312"/>
          <w:sz w:val="32"/>
          <w:szCs w:val="32"/>
          <w:lang w:val="zh-CN" w:eastAsia="zh-CN"/>
        </w:rPr>
        <w:t>预设问题：</w:t>
      </w:r>
      <w:r>
        <w:rPr>
          <w:rFonts w:hint="eastAsia" w:ascii="仿宋_GB2312" w:hAnsi="仿宋_GB2312" w:eastAsia="仿宋_GB2312" w:cs="仿宋_GB2312"/>
          <w:sz w:val="32"/>
          <w:szCs w:val="32"/>
          <w:lang w:val="en-US" w:eastAsia="zh-CN"/>
        </w:rPr>
        <w:t>1两新组织党建工作开展次数。2两新组织党建工作情况。</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pStyle w:val="5"/>
        <w:keepNext w:val="0"/>
        <w:keepLines w:val="0"/>
        <w:pageBreakBefore w:val="0"/>
        <w:widowControl w:val="0"/>
        <w:numPr>
          <w:ilvl w:val="0"/>
          <w:numId w:val="0"/>
        </w:numPr>
        <w:kinsoku/>
        <w:wordWrap/>
        <w:overflowPunct/>
        <w:topLinePunct w:val="0"/>
        <w:autoSpaceDE/>
        <w:autoSpaceDN/>
        <w:bidi w:val="0"/>
        <w:spacing w:line="576"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两新组织工作开展工作日志、照片。</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自评采用定量与定性评价相结合的比较法。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（五）评价组织。</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lang w:eastAsia="zh-CN"/>
        </w:rPr>
      </w:pPr>
      <w:r>
        <w:rPr>
          <w:rFonts w:hint="default"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val="en-US" w:eastAsia="zh-CN"/>
        </w:rPr>
        <w:t>局</w:t>
      </w:r>
      <w:r>
        <w:rPr>
          <w:rFonts w:hint="default" w:ascii="仿宋_GB2312" w:hAnsi="仿宋_GB2312" w:eastAsia="仿宋_GB2312" w:cs="仿宋_GB2312"/>
          <w:sz w:val="32"/>
          <w:szCs w:val="32"/>
          <w:lang w:val="en-US" w:eastAsia="zh-CN"/>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sz w:val="32"/>
          <w:szCs w:val="32"/>
          <w:lang w:val="en-US" w:eastAsia="zh-CN"/>
        </w:rPr>
        <w:t>局办公室</w:t>
      </w:r>
      <w:r>
        <w:rPr>
          <w:rFonts w:hint="default" w:ascii="仿宋_GB2312" w:hAnsi="仿宋_GB2312" w:eastAsia="仿宋_GB2312" w:cs="仿宋_GB2312"/>
          <w:sz w:val="32"/>
          <w:szCs w:val="32"/>
          <w:lang w:val="en-US" w:eastAsia="zh-CN"/>
        </w:rPr>
        <w:t>收集整理</w:t>
      </w:r>
      <w:r>
        <w:rPr>
          <w:rFonts w:hint="eastAsia" w:ascii="仿宋_GB2312" w:hAnsi="仿宋_GB2312" w:eastAsia="仿宋_GB2312" w:cs="仿宋_GB2312"/>
          <w:sz w:val="32"/>
          <w:szCs w:val="32"/>
          <w:lang w:val="en-US" w:eastAsia="zh-CN"/>
        </w:rPr>
        <w:t>该项目</w:t>
      </w:r>
      <w:r>
        <w:rPr>
          <w:rFonts w:hint="default" w:ascii="仿宋_GB2312" w:hAnsi="仿宋_GB2312" w:eastAsia="仿宋_GB2312" w:cs="仿宋_GB2312"/>
          <w:sz w:val="32"/>
          <w:szCs w:val="32"/>
          <w:lang w:val="en-US" w:eastAsia="zh-CN"/>
        </w:rPr>
        <w:t>数据，落实项目实施、运行及资金使用情况，并对所有数据材料进行汇总、分析，形成绩效自评报告。</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2" w:firstLineChars="20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根据市委组织部2024年度两新党组工作安排，</w:t>
      </w:r>
      <w:r>
        <w:rPr>
          <w:rFonts w:hint="eastAsia" w:ascii="仿宋_GB2312" w:hAnsi="仿宋_GB2312" w:eastAsia="仿宋_GB2312" w:cs="仿宋_GB2312"/>
          <w:sz w:val="32"/>
          <w:szCs w:val="32"/>
          <w:lang w:val="en-US" w:eastAsia="zh-CN"/>
        </w:rPr>
        <w:t>市财政局下达，两新组织工作经费5000元。</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由地方金融科管理。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两新组织工作由省地方金融监督管理局和市委组织部共同领导下开展工作，每半年向两个单位报送工作开展情况。</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市地方金融组织两新党委2023年6月成立以来开展活动3次，书记讲党课1次，被省地方金融监督管理局评为优秀等次。</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r>
        <w:rPr>
          <w:rFonts w:hint="eastAsia" w:ascii="楷体_GB2312" w:hAnsi="楷体_GB2312" w:eastAsia="楷体_GB2312" w:cs="楷体_GB2312"/>
          <w:color w:val="auto"/>
          <w:sz w:val="32"/>
          <w:szCs w:val="32"/>
          <w:lang w:val="en-US" w:eastAsia="zh-CN"/>
        </w:rPr>
        <w:t xml:space="preserve"> </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保证了地方金融行业党委工作的正常运转，开展行业活动开支差旅费、会议费等支出。</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2"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napToGrid/>
        <w:spacing w:line="576" w:lineRule="exact"/>
        <w:ind w:firstLine="640" w:firstLineChars="200"/>
        <w:jc w:val="both"/>
        <w:textAlignment w:val="auto"/>
        <w:rPr>
          <w:rFonts w:hint="default"/>
          <w:lang w:val="en-US" w:eastAsia="zh-CN"/>
        </w:rPr>
      </w:pPr>
      <w:r>
        <w:rPr>
          <w:rFonts w:hint="eastAsia" w:ascii="黑体" w:hAnsi="宋体" w:eastAsia="黑体" w:cs="Times New Roman"/>
          <w:color w:val="auto"/>
          <w:kern w:val="2"/>
          <w:sz w:val="32"/>
          <w:szCs w:val="32"/>
          <w:highlight w:val="none"/>
          <w:u w:val="none"/>
          <w:lang w:val="en-US" w:eastAsia="zh-CN" w:bidi="ar-SA"/>
        </w:rPr>
        <w:t xml:space="preserve"> </w:t>
      </w:r>
      <w:r>
        <w:rPr>
          <w:rFonts w:hint="eastAsia" w:ascii="仿宋_GB2312" w:hAnsi="仿宋_GB2312" w:eastAsia="仿宋_GB2312" w:cs="仿宋_GB2312"/>
          <w:b w:val="0"/>
          <w:bCs w:val="0"/>
          <w:color w:val="auto"/>
          <w:kern w:val="0"/>
          <w:position w:val="0"/>
          <w:sz w:val="32"/>
          <w:szCs w:val="32"/>
          <w:highlight w:val="none"/>
          <w:lang w:val="en-US" w:eastAsia="zh-CN" w:bidi="ar-SA"/>
        </w:rPr>
        <w:t>两新组织绩效自评总分100分。</w:t>
      </w:r>
    </w:p>
    <w:p>
      <w:pPr>
        <w:keepNext w:val="0"/>
        <w:keepLines w:val="0"/>
        <w:pageBreakBefore w:val="0"/>
        <w:widowControl w:val="0"/>
        <w:numPr>
          <w:ilvl w:val="0"/>
          <w:numId w:val="14"/>
        </w:numPr>
        <w:tabs>
          <w:tab w:val="left" w:pos="2160"/>
        </w:tabs>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存在主要问题</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地方金融行业党委成立的时间比较短、科室人员少组织活动开展的少，工作开展主动性还不够。</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持续开展“两新”组织党建标准化、规范化建设，持续夯实党组织工作基础。加大重点群体发展党员力度，着力发展一批民营地方金融组织党员。组织开展党员责任区、党员示范岗、党员突击队创建，发挥党员在各自岗位和基层治理中重要作用。</w:t>
      </w:r>
    </w:p>
    <w:p>
      <w:pPr>
        <w:widowControl/>
        <w:jc w:val="center"/>
        <w:rPr>
          <w:rFonts w:hint="eastAsia" w:ascii="黑体" w:hAnsi="黑体" w:eastAsia="黑体"/>
          <w:color w:val="auto"/>
          <w:sz w:val="44"/>
          <w:szCs w:val="44"/>
          <w:highlight w:val="none"/>
        </w:rPr>
      </w:pPr>
    </w:p>
    <w:p>
      <w:pPr>
        <w:widowControl/>
        <w:jc w:val="center"/>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pStyle w:val="2"/>
        <w:rPr>
          <w:rFonts w:hint="eastAsia" w:ascii="黑体" w:hAnsi="黑体" w:eastAsia="黑体"/>
          <w:color w:val="auto"/>
          <w:sz w:val="44"/>
          <w:szCs w:val="44"/>
          <w:highlight w:val="none"/>
        </w:rPr>
      </w:pPr>
    </w:p>
    <w:p>
      <w:pPr>
        <w:widowControl/>
        <w:jc w:val="both"/>
        <w:rPr>
          <w:rFonts w:hint="eastAsia" w:ascii="黑体" w:hAnsi="黑体" w:eastAsia="黑体"/>
          <w:color w:val="auto"/>
          <w:sz w:val="44"/>
          <w:szCs w:val="44"/>
          <w:highlight w:val="none"/>
        </w:rPr>
      </w:pPr>
    </w:p>
    <w:p>
      <w:pPr>
        <w:widowControl/>
        <w:jc w:val="both"/>
        <w:rPr>
          <w:rFonts w:hint="eastAsia" w:ascii="黑体" w:hAnsi="黑体" w:eastAsia="黑体"/>
          <w:color w:val="auto"/>
          <w:sz w:val="44"/>
          <w:szCs w:val="44"/>
          <w:highlight w:val="none"/>
        </w:rPr>
      </w:pPr>
    </w:p>
    <w:p>
      <w:pPr>
        <w:pStyle w:val="2"/>
        <w:rPr>
          <w:rFonts w:hint="eastAsia"/>
        </w:rPr>
      </w:pPr>
    </w:p>
    <w:p>
      <w:pPr>
        <w:keepNext w:val="0"/>
        <w:keepLines w:val="0"/>
        <w:pageBreakBefore w:val="0"/>
        <w:widowControl w:val="0"/>
        <w:suppressAutoHyphens/>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suppressAutoHyphens/>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suppressAutoHyphens/>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(处置非法集资工作)</w:t>
      </w:r>
    </w:p>
    <w:p>
      <w:pPr>
        <w:keepNext w:val="0"/>
        <w:keepLines w:val="0"/>
        <w:pageBreakBefore w:val="0"/>
        <w:widowControl w:val="0"/>
        <w:suppressAutoHyphens/>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0" w:firstLine="640" w:firstLineChars="200"/>
        <w:textAlignment w:val="auto"/>
        <w:rPr>
          <w:rFonts w:hint="eastAsia" w:ascii="黑体" w:hAnsi="宋体" w:eastAsia="黑体" w:cs="Times New Roman"/>
          <w:b w:val="0"/>
          <w:bCs w:val="0"/>
          <w:color w:val="auto"/>
          <w:sz w:val="32"/>
          <w:szCs w:val="32"/>
          <w:lang w:val="zh-CN"/>
        </w:rPr>
      </w:pPr>
      <w:r>
        <w:rPr>
          <w:rFonts w:hint="eastAsia" w:ascii="黑体" w:hAnsi="宋体" w:eastAsia="黑体" w:cs="Times New Roman"/>
          <w:b w:val="0"/>
          <w:bCs w:val="0"/>
          <w:color w:val="auto"/>
          <w:sz w:val="32"/>
          <w:szCs w:val="32"/>
          <w:lang w:val="zh-CN"/>
        </w:rPr>
        <w:t>一、项目概况</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color w:val="auto"/>
          <w:sz w:val="32"/>
          <w:szCs w:val="32"/>
          <w:lang w:val="zh-CN"/>
        </w:rPr>
      </w:pPr>
      <w:r>
        <w:rPr>
          <w:rFonts w:hint="eastAsia" w:ascii="楷体_GB2312" w:hAnsi="宋体" w:eastAsia="楷体_GB2312" w:cs="Times New Roman"/>
          <w:b/>
          <w:color w:val="auto"/>
          <w:sz w:val="32"/>
          <w:szCs w:val="32"/>
          <w:highlight w:val="none"/>
          <w:u w:val="none"/>
          <w:lang w:val="zh-CN"/>
        </w:rPr>
        <w:t>（一）设立背景及基本情况。</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Chars="0" w:firstLine="640" w:firstLineChars="200"/>
        <w:textAlignment w:val="auto"/>
        <w:rPr>
          <w:rFonts w:hint="eastAsia" w:ascii="仿宋_GB2312" w:hAnsi="仿宋_GB2312" w:eastAsia="仿宋_GB2312" w:cs="仿宋_GB2312"/>
          <w:b w:val="0"/>
          <w:bCs w:val="0"/>
          <w:color w:val="auto"/>
          <w:sz w:val="32"/>
          <w:szCs w:val="32"/>
          <w:lang w:val="zh-CN"/>
        </w:rPr>
      </w:pPr>
      <w:r>
        <w:rPr>
          <w:rFonts w:hint="eastAsia" w:ascii="仿宋_GB2312" w:hAnsi="仿宋_GB2312" w:eastAsia="仿宋_GB2312" w:cs="仿宋_GB2312"/>
          <w:bCs/>
          <w:color w:val="auto"/>
          <w:sz w:val="32"/>
          <w:szCs w:val="32"/>
          <w:u w:val="none"/>
          <w:lang w:eastAsia="zh-CN"/>
        </w:rPr>
        <w:t>项目主管部门为金融稳定科，</w:t>
      </w:r>
      <w:r>
        <w:rPr>
          <w:rFonts w:hint="eastAsia" w:ascii="仿宋_GB2312" w:hAnsi="仿宋_GB2312" w:eastAsia="仿宋_GB2312" w:cs="仿宋_GB2312"/>
          <w:b w:val="0"/>
          <w:bCs w:val="0"/>
          <w:color w:val="auto"/>
          <w:sz w:val="32"/>
          <w:szCs w:val="32"/>
          <w:lang w:val="zh-CN"/>
        </w:rPr>
        <w:t>在该项目管理中的</w:t>
      </w:r>
      <w:r>
        <w:rPr>
          <w:rFonts w:hint="eastAsia" w:ascii="仿宋_GB2312" w:hAnsi="仿宋_GB2312" w:eastAsia="仿宋_GB2312" w:cs="仿宋_GB2312"/>
          <w:bCs/>
          <w:color w:val="auto"/>
          <w:sz w:val="32"/>
          <w:szCs w:val="32"/>
          <w:u w:val="none"/>
          <w:lang w:eastAsia="zh-CN"/>
        </w:rPr>
        <w:t>职能：常态化开展防范非法集资宣传，拍摄防范非法集资公益视频，牵头推动非法集资存案化解处置，保护广大群众合法权益</w:t>
      </w:r>
      <w:r>
        <w:rPr>
          <w:rFonts w:hint="eastAsia" w:ascii="仿宋_GB2312" w:hAnsi="仿宋_GB2312" w:eastAsia="仿宋_GB2312" w:cs="仿宋_GB2312"/>
          <w:color w:val="auto"/>
          <w:sz w:val="32"/>
          <w:szCs w:val="32"/>
          <w:lang w:eastAsia="zh-CN"/>
        </w:rPr>
        <w:t>。</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color w:val="auto"/>
          <w:sz w:val="32"/>
          <w:szCs w:val="32"/>
          <w:lang w:val="zh-CN"/>
        </w:rPr>
      </w:pP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Chars="0" w:firstLine="640" w:firstLineChars="200"/>
        <w:textAlignment w:val="auto"/>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eastAsia="zh-CN"/>
        </w:rPr>
        <w:t>强化市县（区）联动，履行防范和处置非法集资工作的牵头部门职责，有效防范和化解金融风险，通过风险排查、监测预警、严厉打击，守住不发生金融风险底线，维护全市经济社会和金融稳定。</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color w:val="auto"/>
          <w:sz w:val="32"/>
          <w:szCs w:val="32"/>
          <w:lang w:val="en-US" w:eastAsia="zh-CN"/>
        </w:rPr>
      </w:pPr>
      <w:r>
        <w:rPr>
          <w:rFonts w:hint="eastAsia" w:ascii="仿宋_GB2312" w:hAnsi="宋体" w:eastAsia="仿宋_GB2312" w:cs="Times New Roman"/>
          <w:color w:val="auto"/>
          <w:sz w:val="32"/>
          <w:szCs w:val="32"/>
          <w:lang w:val="en-US" w:eastAsia="zh-CN"/>
        </w:rPr>
        <w:t>项目预算资金不超过16万元，资金用于防范和处置非法集资工作差旅费、会议费、宣传费等。</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4"/>
        <w:gridCol w:w="1604"/>
        <w:gridCol w:w="2540"/>
        <w:gridCol w:w="1152"/>
        <w:gridCol w:w="900"/>
        <w:gridCol w:w="9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处非宣传次数</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次</w:t>
            </w:r>
            <w:r>
              <w:rPr>
                <w:rFonts w:hint="eastAsia" w:ascii="宋体" w:hAnsi="宋体" w:cs="宋体"/>
                <w:i w:val="0"/>
                <w:iCs w:val="0"/>
                <w:color w:val="000000"/>
                <w:kern w:val="0"/>
                <w:sz w:val="18"/>
                <w:szCs w:val="18"/>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bidi w:val="0"/>
              <w:jc w:val="center"/>
              <w:rPr>
                <w:rFonts w:hint="eastAsia" w:ascii="宋体" w:hAnsi="宋体" w:eastAsia="宋体" w:cs="宋体"/>
                <w:i w:val="0"/>
                <w:iCs w:val="0"/>
                <w:color w:val="000000"/>
                <w:sz w:val="18"/>
                <w:szCs w:val="18"/>
                <w:u w:val="none"/>
              </w:rPr>
            </w:pP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处非宣传</w:t>
            </w:r>
            <w:r>
              <w:rPr>
                <w:rFonts w:hint="eastAsia" w:ascii="宋体" w:hAnsi="宋体" w:cs="宋体"/>
                <w:i w:val="0"/>
                <w:iCs w:val="0"/>
                <w:color w:val="000000"/>
                <w:kern w:val="0"/>
                <w:sz w:val="18"/>
                <w:szCs w:val="18"/>
                <w:u w:val="none"/>
                <w:lang w:val="en-US" w:eastAsia="zh-CN" w:bidi="ar"/>
              </w:rPr>
              <w:t>效果</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bidi w:val="0"/>
              <w:jc w:val="center"/>
              <w:rPr>
                <w:rFonts w:hint="eastAsia" w:ascii="宋体" w:hAnsi="宋体" w:eastAsia="宋体" w:cs="宋体"/>
                <w:i w:val="0"/>
                <w:iCs w:val="0"/>
                <w:color w:val="000000"/>
                <w:sz w:val="18"/>
                <w:szCs w:val="18"/>
                <w:u w:val="none"/>
              </w:rPr>
            </w:pP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规定时间内完成</w:t>
            </w:r>
            <w:r>
              <w:rPr>
                <w:rFonts w:hint="eastAsia" w:ascii="宋体" w:hAnsi="宋体" w:cs="宋体"/>
                <w:i w:val="0"/>
                <w:iCs w:val="0"/>
                <w:color w:val="000000"/>
                <w:kern w:val="0"/>
                <w:sz w:val="18"/>
                <w:szCs w:val="18"/>
                <w:u w:val="none"/>
                <w:lang w:val="en-US" w:eastAsia="zh-CN" w:bidi="ar"/>
              </w:rPr>
              <w:t>案处置化解</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维护全市经济社会和金融稳定情况</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bidi w:val="0"/>
              <w:jc w:val="center"/>
              <w:rPr>
                <w:rFonts w:hint="eastAsia" w:ascii="宋体" w:hAnsi="宋体" w:eastAsia="宋体" w:cs="宋体"/>
                <w:i w:val="0"/>
                <w:iCs w:val="0"/>
                <w:color w:val="000000"/>
                <w:sz w:val="18"/>
                <w:szCs w:val="18"/>
                <w:u w:val="none"/>
              </w:rPr>
            </w:pP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处非成果对经济社会影响</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非法集资参与人</w:t>
            </w:r>
            <w:r>
              <w:rPr>
                <w:rFonts w:ascii="宋体" w:hAnsi="宋体" w:eastAsia="宋体" w:cs="宋体"/>
                <w:i w:val="0"/>
                <w:iCs w:val="0"/>
                <w:color w:val="000000"/>
                <w:kern w:val="0"/>
                <w:sz w:val="18"/>
                <w:szCs w:val="18"/>
                <w:u w:val="none"/>
                <w:lang w:val="en-US" w:eastAsia="zh-CN" w:bidi="ar"/>
              </w:rPr>
              <w:t>满意度</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41"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处非宣传广告费</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5</w:t>
            </w:r>
            <w:r>
              <w:rPr>
                <w:rFonts w:ascii="宋体" w:hAnsi="宋体" w:eastAsia="宋体" w:cs="宋体"/>
                <w:i w:val="0"/>
                <w:iCs w:val="0"/>
                <w:color w:val="000000"/>
                <w:kern w:val="0"/>
                <w:sz w:val="18"/>
                <w:szCs w:val="18"/>
                <w:u w:val="none"/>
                <w:lang w:val="en-US" w:eastAsia="zh-CN" w:bidi="ar"/>
              </w:rPr>
              <w:t>0000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bidi w:val="0"/>
              <w:jc w:val="center"/>
              <w:rPr>
                <w:rFonts w:hint="eastAsia" w:ascii="宋体" w:hAnsi="宋体" w:eastAsia="宋体" w:cs="宋体"/>
                <w:i w:val="0"/>
                <w:iCs w:val="0"/>
                <w:color w:val="000000"/>
                <w:sz w:val="18"/>
                <w:szCs w:val="18"/>
                <w:u w:val="none"/>
              </w:rPr>
            </w:pPr>
          </w:p>
        </w:tc>
        <w:tc>
          <w:tcPr>
            <w:tcW w:w="941" w:type="pct"/>
            <w:vMerge w:val="continue"/>
            <w:tcBorders>
              <w:top w:val="single" w:color="000000" w:sz="4" w:space="0"/>
              <w:left w:val="single" w:color="000000" w:sz="4" w:space="0"/>
              <w:bottom w:val="single" w:color="000000" w:sz="4" w:space="0"/>
              <w:right w:val="single" w:color="000000" w:sz="4" w:space="0"/>
            </w:tcBorders>
            <w:noWrap w:val="0"/>
            <w:vAlign w:val="center"/>
          </w:tcPr>
          <w:p>
            <w:pPr>
              <w:suppressAutoHyphens/>
              <w:bidi w:val="0"/>
              <w:jc w:val="center"/>
              <w:rPr>
                <w:rFonts w:hint="eastAsia" w:ascii="宋体" w:hAnsi="宋体" w:eastAsia="宋体" w:cs="宋体"/>
                <w:i w:val="0"/>
                <w:iCs w:val="0"/>
                <w:color w:val="000000"/>
                <w:sz w:val="18"/>
                <w:szCs w:val="18"/>
                <w:u w:val="none"/>
              </w:rPr>
            </w:pPr>
          </w:p>
        </w:tc>
        <w:tc>
          <w:tcPr>
            <w:tcW w:w="149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4</w:t>
            </w:r>
            <w:r>
              <w:rPr>
                <w:rFonts w:ascii="宋体" w:hAnsi="宋体" w:eastAsia="宋体" w:cs="宋体"/>
                <w:i w:val="0"/>
                <w:iCs w:val="0"/>
                <w:color w:val="000000"/>
                <w:kern w:val="0"/>
                <w:sz w:val="18"/>
                <w:szCs w:val="18"/>
                <w:u w:val="none"/>
                <w:lang w:val="en-US" w:eastAsia="zh-CN" w:bidi="ar"/>
              </w:rPr>
              <w:t>0000</w:t>
            </w:r>
          </w:p>
        </w:tc>
        <w:tc>
          <w:tcPr>
            <w:tcW w:w="58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uppressAutoHyphens/>
              <w:bidi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bl>
    <w:p>
      <w:pPr>
        <w:keepNext w:val="0"/>
        <w:keepLines w:val="0"/>
        <w:pageBreakBefore w:val="0"/>
        <w:widowControl w:val="0"/>
        <w:kinsoku/>
        <w:wordWrap/>
        <w:overflowPunct/>
        <w:topLinePunct w:val="0"/>
        <w:autoSpaceDE w:val="0"/>
        <w:autoSpaceDN w:val="0"/>
        <w:bidi w:val="0"/>
        <w:adjustRightInd w:val="0"/>
        <w:spacing w:after="0" w:line="240" w:lineRule="auto"/>
        <w:ind w:left="0" w:leftChars="0" w:firstLine="0" w:firstLineChars="0"/>
        <w:textAlignment w:val="auto"/>
        <w:rPr>
          <w:rFonts w:hint="eastAsia" w:ascii="仿宋" w:hAnsi="Calibri" w:eastAsia="仿宋" w:cs="仿宋"/>
          <w:color w:val="000000"/>
          <w:sz w:val="24"/>
          <w:szCs w:val="24"/>
          <w:lang w:val="zh-CN" w:eastAsia="zh-CN" w:bidi="ar-SA"/>
        </w:rPr>
      </w:pP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（一）评价目的。</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方正黑体_GBK" w:hAnsi="Calibri" w:eastAsia="方正黑体_GBK" w:cs="Times New Roman"/>
          <w:color w:val="auto"/>
          <w:kern w:val="2"/>
          <w:sz w:val="32"/>
          <w:szCs w:val="32"/>
          <w:lang w:val="zh-CN" w:eastAsia="zh-CN" w:bidi="ar-SA"/>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预设问题：</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1.是否有效开展防范非法集资宣传及风险排查，有效控制非法集资增量案件。</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2.是否在规定时间节点完成非法集资存案化解销案。</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zh-CN" w:eastAsia="zh-CN"/>
        </w:rPr>
        <w:t>评价重点</w:t>
      </w:r>
      <w:r>
        <w:rPr>
          <w:rFonts w:hint="eastAsia" w:ascii="仿宋_GB2312" w:hAnsi="仿宋_GB2312" w:eastAsia="仿宋_GB2312" w:cs="仿宋_GB2312"/>
          <w:color w:val="auto"/>
          <w:sz w:val="32"/>
          <w:szCs w:val="32"/>
          <w:lang w:val="en-US" w:eastAsia="zh-CN"/>
        </w:rPr>
        <w:t>：是否发生非法集资参与人到省进京集访非访事件。</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非法集资重点县（区），投融资理财公司非法集资案件相关责任部门。</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numPr>
          <w:ilvl w:val="0"/>
          <w:numId w:val="0"/>
        </w:numPr>
        <w:suppressAutoHyphens/>
        <w:kinsoku/>
        <w:wordWrap/>
        <w:overflowPunct/>
        <w:topLinePunct w:val="0"/>
        <w:bidi w:val="0"/>
        <w:spacing w:after="0" w:line="576" w:lineRule="exact"/>
        <w:ind w:left="0" w:leftChars="0" w:firstLine="640" w:firstLineChars="200"/>
        <w:jc w:val="left"/>
        <w:textAlignment w:val="auto"/>
        <w:rPr>
          <w:rFonts w:hint="eastAsia" w:ascii="方正黑体_GBK" w:hAnsi="Calibri" w:eastAsia="方正黑体_GBK" w:cs="Times New Roman"/>
          <w:color w:val="auto"/>
          <w:kern w:val="2"/>
          <w:sz w:val="32"/>
          <w:szCs w:val="32"/>
          <w:lang w:val="zh-CN" w:eastAsia="zh-CN" w:bidi="ar-SA"/>
        </w:rPr>
      </w:pPr>
      <w:r>
        <w:rPr>
          <w:rFonts w:hint="default" w:ascii="仿宋_GB2312" w:hAnsi="仿宋_GB2312" w:eastAsia="仿宋_GB2312" w:cs="仿宋_GB2312"/>
          <w:color w:val="auto"/>
          <w:kern w:val="2"/>
          <w:sz w:val="32"/>
          <w:szCs w:val="32"/>
          <w:lang w:val="en-US" w:eastAsia="zh-CN" w:bidi="ar-SA"/>
        </w:rPr>
        <w:t>自评采用定量与定性评价相结合的比较法。</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（五）评价组织。</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after="0" w:line="576" w:lineRule="exact"/>
        <w:ind w:left="0" w:leftChars="0" w:firstLine="640" w:firstLineChars="200"/>
        <w:jc w:val="left"/>
        <w:textAlignment w:val="auto"/>
        <w:rPr>
          <w:rFonts w:hint="eastAsia" w:ascii="方正黑体_GBK" w:hAnsi="Calibri" w:eastAsia="方正黑体_GBK" w:cs="Times New Roman"/>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我</w:t>
      </w:r>
      <w:r>
        <w:rPr>
          <w:rFonts w:hint="eastAsia" w:ascii="仿宋_GB2312" w:hAnsi="仿宋_GB2312" w:eastAsia="仿宋_GB2312" w:cs="仿宋_GB2312"/>
          <w:color w:val="auto"/>
          <w:kern w:val="2"/>
          <w:sz w:val="32"/>
          <w:szCs w:val="32"/>
          <w:lang w:val="en-US" w:eastAsia="zh-CN" w:bidi="ar-SA"/>
        </w:rPr>
        <w:t>局</w:t>
      </w:r>
      <w:r>
        <w:rPr>
          <w:rFonts w:hint="default" w:ascii="仿宋_GB2312" w:hAnsi="仿宋_GB2312" w:eastAsia="仿宋_GB2312" w:cs="仿宋_GB2312"/>
          <w:color w:val="auto"/>
          <w:kern w:val="2"/>
          <w:sz w:val="32"/>
          <w:szCs w:val="32"/>
          <w:lang w:val="en-US" w:eastAsia="zh-CN" w:bidi="ar-SA"/>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color w:val="auto"/>
          <w:kern w:val="2"/>
          <w:sz w:val="32"/>
          <w:szCs w:val="32"/>
          <w:lang w:val="en-US" w:eastAsia="zh-CN" w:bidi="ar-SA"/>
        </w:rPr>
        <w:t>金融稳定科</w:t>
      </w:r>
      <w:r>
        <w:rPr>
          <w:rFonts w:hint="default" w:ascii="仿宋_GB2312" w:hAnsi="仿宋_GB2312" w:eastAsia="仿宋_GB2312" w:cs="仿宋_GB2312"/>
          <w:color w:val="auto"/>
          <w:kern w:val="2"/>
          <w:sz w:val="32"/>
          <w:szCs w:val="32"/>
          <w:lang w:val="en-US" w:eastAsia="zh-CN" w:bidi="ar-SA"/>
        </w:rPr>
        <w:t>收集整理</w:t>
      </w:r>
      <w:r>
        <w:rPr>
          <w:rFonts w:hint="eastAsia" w:ascii="仿宋_GB2312" w:hAnsi="仿宋_GB2312" w:eastAsia="仿宋_GB2312" w:cs="仿宋_GB2312"/>
          <w:color w:val="auto"/>
          <w:kern w:val="2"/>
          <w:sz w:val="32"/>
          <w:szCs w:val="32"/>
          <w:lang w:val="en-US" w:eastAsia="zh-CN" w:bidi="ar-SA"/>
        </w:rPr>
        <w:t>该项目</w:t>
      </w:r>
      <w:r>
        <w:rPr>
          <w:rFonts w:hint="default" w:ascii="仿宋_GB2312" w:hAnsi="仿宋_GB2312" w:eastAsia="仿宋_GB2312" w:cs="仿宋_GB2312"/>
          <w:color w:val="auto"/>
          <w:kern w:val="2"/>
          <w:sz w:val="32"/>
          <w:szCs w:val="32"/>
          <w:lang w:val="en-US" w:eastAsia="zh-CN" w:bidi="ar-SA"/>
        </w:rPr>
        <w:t>数据，落实项目实施、运行及资金使用情况，并对所有数据材料进行汇总、分析，形成绩效自评报告。</w:t>
      </w: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Calibri" w:hAnsi="Calibri" w:eastAsia="仿宋_GB2312" w:cs="Times New Roman"/>
          <w:color w:val="auto"/>
          <w:sz w:val="32"/>
          <w:szCs w:val="32"/>
        </w:rPr>
        <w:t>根据</w:t>
      </w:r>
      <w:r>
        <w:rPr>
          <w:rFonts w:hint="eastAsia" w:ascii="Calibri" w:hAnsi="Calibri" w:eastAsia="仿宋_GB2312" w:cs="Times New Roman"/>
          <w:color w:val="auto"/>
          <w:sz w:val="32"/>
          <w:szCs w:val="32"/>
          <w:lang w:eastAsia="zh-CN"/>
        </w:rPr>
        <w:t>国务院</w:t>
      </w:r>
      <w:r>
        <w:rPr>
          <w:rFonts w:hint="eastAsia" w:ascii="Calibri" w:hAnsi="Calibri" w:eastAsia="仿宋_GB2312" w:cs="Times New Roman"/>
          <w:color w:val="auto"/>
          <w:sz w:val="32"/>
          <w:szCs w:val="32"/>
        </w:rPr>
        <w:t>《</w:t>
      </w:r>
      <w:r>
        <w:rPr>
          <w:rFonts w:hint="eastAsia" w:ascii="Calibri" w:hAnsi="Calibri" w:eastAsia="仿宋_GB2312" w:cs="Times New Roman"/>
          <w:color w:val="auto"/>
          <w:sz w:val="32"/>
          <w:szCs w:val="32"/>
          <w:lang w:eastAsia="zh-CN"/>
        </w:rPr>
        <w:t>防范和处置非法集资条例</w:t>
      </w:r>
      <w:r>
        <w:rPr>
          <w:rFonts w:hint="eastAsia" w:ascii="Calibri" w:hAnsi="Calibri" w:eastAsia="仿宋_GB2312" w:cs="Times New Roman"/>
          <w:color w:val="auto"/>
          <w:sz w:val="32"/>
          <w:szCs w:val="32"/>
        </w:rPr>
        <w:t>》</w:t>
      </w:r>
      <w:r>
        <w:rPr>
          <w:rFonts w:hint="eastAsia" w:ascii="Calibri" w:hAnsi="Calibri" w:eastAsia="仿宋_GB2312" w:cs="Times New Roman"/>
          <w:color w:val="auto"/>
          <w:sz w:val="32"/>
          <w:szCs w:val="32"/>
          <w:lang w:eastAsia="zh-CN"/>
        </w:rPr>
        <w:t>规定“各级人民政府应当合理保障防范和处置非法集资工作相关经费，并列入本级预算”。</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防范和处置非法集资工作由金融稳定科牵头，会同相关市级部门，督促指导各县（区）开展防范和处置非法集资工作。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印发防范非法集资宣传月工作方案，春节期间防范非法集资宣传工作的通知，开展防范和处置非法集资“全力攻坚、决胜全年”专项整治行动、开展解债类非法集资专项整治、大运会期间金融领域矛盾纠纷大排查大化解等工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全年非法集资案件“零新发”，增量风险得到有效控制，存案实现“清零”。</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防范和处置非法集资工作取得积极成效，维护了全市经济金融秩序。</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守住了老百姓财产安全，最大限度减少了非法集资参与人经济损失。</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pPr>
        <w:keepNext w:val="0"/>
        <w:keepLines w:val="0"/>
        <w:pageBreakBefore w:val="0"/>
        <w:widowControl w:val="0"/>
        <w:suppressAutoHyphens/>
        <w:kinsoku/>
        <w:wordWrap/>
        <w:overflowPunct/>
        <w:topLinePunct w:val="0"/>
        <w:bidi w:val="0"/>
        <w:spacing w:after="0" w:line="576" w:lineRule="exact"/>
        <w:ind w:left="0" w:leftChars="0" w:firstLine="640" w:firstLineChars="200"/>
        <w:jc w:val="both"/>
        <w:textAlignment w:val="auto"/>
        <w:rPr>
          <w:rFonts w:hint="eastAsia" w:ascii="Calibri" w:hAnsi="Calibri" w:eastAsia="宋体" w:cs="Times New Roman"/>
          <w:color w:val="auto"/>
          <w:kern w:val="2"/>
          <w:sz w:val="21"/>
          <w:szCs w:val="24"/>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处置非法集资绩效自评的分100分</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五、存在主要问题</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黑体" w:eastAsia="宋体" w:cs="黑体"/>
          <w:b w:val="0"/>
          <w:bCs w:val="0"/>
          <w:color w:val="auto"/>
          <w:kern w:val="2"/>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非法集资宣传覆盖面有待进一步拓宽，宣传方式有待进一步创新，非法集资存案大部分公司无资产可执行，追赃挽损难度大。</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2"/>
        <w:rPr>
          <w:rFonts w:hint="eastAsia" w:ascii="仿宋_GB2312" w:hAnsi="仿宋_GB2312" w:eastAsia="仿宋_GB2312" w:cs="仿宋_GB2312"/>
          <w:b w:val="0"/>
          <w:bCs w:val="0"/>
          <w:color w:val="auto"/>
          <w:kern w:val="0"/>
          <w:position w:val="0"/>
          <w:sz w:val="32"/>
          <w:szCs w:val="32"/>
          <w:highlight w:val="none"/>
          <w:lang w:val="en-US" w:eastAsia="zh-CN" w:bidi="ar-SA"/>
        </w:rPr>
      </w:pPr>
    </w:p>
    <w:p>
      <w:pPr>
        <w:pStyle w:val="2"/>
        <w:rPr>
          <w:rFonts w:hint="eastAsia" w:ascii="仿宋_GB2312" w:hAnsi="仿宋_GB2312" w:eastAsia="仿宋_GB2312" w:cs="仿宋_GB2312"/>
          <w:b w:val="0"/>
          <w:bCs w:val="0"/>
          <w:color w:val="auto"/>
          <w:kern w:val="0"/>
          <w:position w:val="0"/>
          <w:sz w:val="32"/>
          <w:szCs w:val="32"/>
          <w:highlight w:val="none"/>
          <w:lang w:val="en-US" w:eastAsia="zh-CN" w:bidi="ar-SA"/>
        </w:rPr>
      </w:pPr>
    </w:p>
    <w:p>
      <w:pPr>
        <w:pStyle w:val="2"/>
        <w:rPr>
          <w:rFonts w:hint="eastAsia" w:ascii="仿宋_GB2312" w:hAnsi="仿宋_GB2312" w:eastAsia="仿宋_GB2312" w:cs="仿宋_GB2312"/>
          <w:b w:val="0"/>
          <w:bCs w:val="0"/>
          <w:color w:val="auto"/>
          <w:kern w:val="0"/>
          <w:position w:val="0"/>
          <w:sz w:val="32"/>
          <w:szCs w:val="32"/>
          <w:highlight w:val="none"/>
          <w:lang w:val="en-US" w:eastAsia="zh-CN" w:bidi="ar-SA"/>
        </w:rPr>
      </w:pPr>
    </w:p>
    <w:p>
      <w:pPr>
        <w:widowControl w:val="0"/>
        <w:numPr>
          <w:ilvl w:val="0"/>
          <w:numId w:val="0"/>
        </w:numPr>
        <w:suppressAutoHyphens/>
        <w:bidi w:val="0"/>
        <w:spacing w:after="120"/>
        <w:ind w:leftChars="200" w:firstLine="420" w:firstLineChars="200"/>
        <w:jc w:val="both"/>
        <w:rPr>
          <w:rFonts w:ascii="仿宋_GB2312" w:hAnsi="Calibri" w:eastAsia="宋体" w:cs="Times New Roman"/>
          <w:color w:val="auto"/>
          <w:kern w:val="2"/>
          <w:sz w:val="21"/>
          <w:szCs w:val="32"/>
          <w:lang w:val="en-US" w:eastAsia="zh-CN" w:bidi="ar-SA"/>
        </w:rPr>
      </w:pPr>
    </w:p>
    <w:p>
      <w:pPr>
        <w:keepNext w:val="0"/>
        <w:keepLines w:val="0"/>
        <w:pageBreakBefore w:val="0"/>
        <w:widowControl w:val="0"/>
        <w:kinsoku/>
        <w:wordWrap/>
        <w:overflowPunct/>
        <w:topLinePunct w:val="0"/>
        <w:autoSpaceDE/>
        <w:autoSpaceDN/>
        <w:bidi w:val="0"/>
        <w:spacing w:line="578" w:lineRule="exact"/>
        <w:jc w:val="both"/>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(资本市场支持广元经济高质量发展融资对接会)</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0" w:firstLineChars="200"/>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suppressLineNumbers w:val="0"/>
        <w:kinsoku/>
        <w:wordWrap/>
        <w:overflowPunct/>
        <w:topLinePunct w:val="0"/>
        <w:autoSpaceDE/>
        <w:autoSpaceDN/>
        <w:bidi w:val="0"/>
        <w:adjustRightInd/>
        <w:snapToGrid/>
        <w:spacing w:line="576" w:lineRule="exact"/>
        <w:ind w:leftChars="0" w:firstLine="640" w:firstLineChars="200"/>
        <w:jc w:val="left"/>
        <w:textAlignment w:val="auto"/>
        <w:rPr>
          <w:rFonts w:hint="eastAsia" w:ascii="Times New Roman" w:hAnsi="Times New Roman" w:eastAsia="仿宋_GB2312" w:cs="Times New Roman"/>
          <w:bCs/>
          <w:sz w:val="32"/>
          <w:szCs w:val="32"/>
          <w:highlight w:val="none"/>
          <w:u w:val="none"/>
          <w:lang w:val="zh-CN" w:eastAsia="zh-CN"/>
        </w:rPr>
      </w:pPr>
      <w:r>
        <w:rPr>
          <w:rFonts w:hint="eastAsia" w:ascii="Times New Roman" w:hAnsi="Times New Roman" w:eastAsia="仿宋_GB2312" w:cs="Times New Roman"/>
          <w:bCs/>
          <w:sz w:val="32"/>
          <w:szCs w:val="32"/>
          <w:highlight w:val="none"/>
          <w:u w:val="none"/>
          <w:lang w:val="zh-CN" w:eastAsia="zh-CN"/>
        </w:rPr>
        <w:t>资本市场支持广元经济高质量发展融资对接会主管部门为资本市场科，在该项目管理中的职能：制定会议方案，发布会议通知，邀请参会省级部门及金融机构，</w:t>
      </w:r>
      <w:r>
        <w:rPr>
          <w:rFonts w:hint="eastAsia" w:ascii="Times New Roman" w:hAnsi="Times New Roman" w:eastAsia="仿宋_GB2312" w:cs="Times New Roman"/>
          <w:bCs/>
          <w:sz w:val="32"/>
          <w:szCs w:val="32"/>
          <w:highlight w:val="none"/>
          <w:u w:val="none"/>
          <w:lang w:val="en-US" w:eastAsia="zh-CN"/>
        </w:rPr>
        <w:t>根据会议主题和议程</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准备好会议所需的各类资料</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包括会议议程、会议材料、发言稿等</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确保会议进行顺利</w:t>
      </w:r>
      <w:r>
        <w:rPr>
          <w:rFonts w:hint="default" w:ascii="Times New Roman" w:hAnsi="Times New Roman" w:eastAsia="仿宋_GB2312" w:cs="Times New Roman"/>
          <w:bCs/>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cs="Times New Roman"/>
          <w:sz w:val="32"/>
          <w:szCs w:val="32"/>
          <w:lang w:eastAsia="zh-CN"/>
        </w:rPr>
      </w:pPr>
      <w:r>
        <w:rPr>
          <w:rFonts w:hint="eastAsia" w:ascii="仿宋_GB2312" w:hAnsi="宋体" w:eastAsia="仿宋_GB2312" w:cs="Times New Roman"/>
          <w:sz w:val="32"/>
          <w:szCs w:val="32"/>
          <w:lang w:eastAsia="zh-CN"/>
        </w:rPr>
        <w:t>邀请行业协会、交易所、证券机构、基金公司来广召开融资对接会，助力广元经济高质量发展</w:t>
      </w:r>
      <w:r>
        <w:rPr>
          <w:rFonts w:hint="eastAsia" w:ascii="仿宋_GB2312" w:hAnsi="宋体"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项目预算资金不超过3.168万元，资金用于会议餐饮费、住宿费、印刷费、设备租赁费、场地租赁费等。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24"/>
        <w:gridCol w:w="1822"/>
        <w:gridCol w:w="2746"/>
        <w:gridCol w:w="682"/>
        <w:gridCol w:w="1212"/>
        <w:gridCol w:w="7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参会人数</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152</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基金、证券等机构与我市企业对接情况</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会议时间</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对接会助力广元经济高质量发展情况</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可持续发展指标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促进本地企业上市</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基金、证券机构对路演企业满意度</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7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106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6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会议费总额</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11"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31680</w:t>
            </w:r>
          </w:p>
        </w:tc>
        <w:tc>
          <w:tcPr>
            <w:tcW w:w="43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w:t>
            </w:r>
          </w:p>
        </w:tc>
      </w:tr>
    </w:tbl>
    <w:p>
      <w:pPr>
        <w:pStyle w:val="27"/>
        <w:keepNext w:val="0"/>
        <w:keepLines w:val="0"/>
        <w:pageBreakBefore w:val="0"/>
        <w:kinsoku/>
        <w:wordWrap/>
        <w:overflowPunct/>
        <w:topLinePunct w:val="0"/>
        <w:bidi w:val="0"/>
        <w:spacing w:line="576" w:lineRule="exact"/>
        <w:ind w:left="0" w:leftChars="0" w:firstLine="480" w:firstLineChars="200"/>
        <w:textAlignment w:val="auto"/>
        <w:rPr>
          <w:rFonts w:hint="eastAsia"/>
          <w:lang w:val="zh-CN" w:eastAsia="zh-CN"/>
        </w:rPr>
      </w:pPr>
    </w:p>
    <w:p>
      <w:pPr>
        <w:keepNext w:val="0"/>
        <w:keepLines w:val="0"/>
        <w:pageBreakBefore w:val="0"/>
        <w:widowControl w:val="0"/>
        <w:suppressAutoHyphens/>
        <w:kinsoku/>
        <w:wordWrap/>
        <w:overflowPunct/>
        <w:topLinePunct w:val="0"/>
        <w:autoSpaceDE/>
        <w:autoSpaceDN/>
        <w:bidi w:val="0"/>
        <w:adjustRightInd w:val="0"/>
        <w:snapToGrid w:val="0"/>
        <w:spacing w:line="576" w:lineRule="exact"/>
        <w:ind w:left="0" w:leftChars="0"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（一）评价目的。</w:t>
      </w:r>
    </w:p>
    <w:p>
      <w:pPr>
        <w:pStyle w:val="29"/>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lang w:val="zh-CN"/>
        </w:rPr>
      </w:pPr>
      <w:r>
        <w:rPr>
          <w:rFonts w:hint="eastAsia" w:ascii="Times New Roman" w:hAnsi="Times New Roman" w:eastAsia="仿宋_GB2312" w:cs="Times New Roman"/>
          <w:bCs/>
          <w:sz w:val="32"/>
          <w:szCs w:val="32"/>
          <w:highlight w:val="none"/>
          <w:u w:val="none"/>
          <w:lang w:val="zh-CN" w:eastAsia="zh-CN"/>
        </w:rPr>
        <w:t>顺利举办资本市场支持广元经济高质量发展融资对接会，确保会议</w:t>
      </w:r>
      <w:r>
        <w:rPr>
          <w:rFonts w:hint="eastAsia" w:ascii="Times New Roman" w:hAnsi="Times New Roman" w:eastAsia="仿宋_GB2312" w:cs="Times New Roman"/>
          <w:bCs/>
          <w:sz w:val="32"/>
          <w:szCs w:val="32"/>
          <w:highlight w:val="none"/>
          <w:u w:val="none"/>
          <w:lang w:val="en-US" w:eastAsia="zh-CN"/>
        </w:rPr>
        <w:t>进行顺利</w:t>
      </w:r>
      <w:r>
        <w:rPr>
          <w:rFonts w:hint="default" w:ascii="Times New Roman" w:hAnsi="Times New Roman" w:eastAsia="仿宋_GB2312" w:cs="Times New Roman"/>
          <w:bCs/>
          <w:sz w:val="32"/>
          <w:szCs w:val="32"/>
          <w:highlight w:val="none"/>
          <w:u w:val="none"/>
          <w:lang w:val="en-US"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val="zh-CN"/>
        </w:rPr>
      </w:pPr>
      <w:r>
        <w:rPr>
          <w:rFonts w:hint="eastAsia" w:ascii="仿宋_GB2312" w:hAnsi="仿宋_GB2312" w:eastAsia="仿宋_GB2312" w:cs="仿宋_GB2312"/>
          <w:color w:val="auto"/>
          <w:kern w:val="2"/>
          <w:sz w:val="32"/>
          <w:szCs w:val="32"/>
          <w:lang w:val="en-US" w:eastAsia="zh-CN" w:bidi="ar-SA"/>
        </w:rPr>
        <w:t>会议遵循勤俭节约、保证安全、节能环保、经济适用的原则，以高质量办会，节约成本为</w:t>
      </w:r>
      <w:r>
        <w:rPr>
          <w:rFonts w:hint="default" w:ascii="仿宋_GB2312" w:hAnsi="仿宋_GB2312" w:eastAsia="仿宋_GB2312" w:cs="仿宋_GB2312"/>
          <w:color w:val="auto"/>
          <w:kern w:val="2"/>
          <w:sz w:val="32"/>
          <w:szCs w:val="32"/>
          <w:lang w:val="en-US" w:eastAsia="zh-CN" w:bidi="ar-SA"/>
        </w:rPr>
        <w:t>重点</w:t>
      </w:r>
      <w:r>
        <w:rPr>
          <w:rFonts w:hint="eastAsia" w:ascii="仿宋_GB2312" w:hAnsi="仿宋_GB2312" w:eastAsia="仿宋_GB2312" w:cs="仿宋_GB2312"/>
          <w:color w:val="auto"/>
          <w:kern w:val="2"/>
          <w:sz w:val="32"/>
          <w:szCs w:val="32"/>
          <w:lang w:val="en-US" w:eastAsia="zh-CN" w:bidi="ar-SA"/>
        </w:rPr>
        <w:t>。</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val="zh-CN" w:eastAsia="zh-CN"/>
        </w:rPr>
      </w:pPr>
      <w:r>
        <w:rPr>
          <w:rFonts w:hint="eastAsia" w:ascii="仿宋_GB2312" w:hAnsi="仿宋_GB2312" w:eastAsia="仿宋_GB2312" w:cs="仿宋_GB2312"/>
          <w:color w:val="auto"/>
          <w:kern w:val="2"/>
          <w:sz w:val="32"/>
          <w:szCs w:val="32"/>
          <w:lang w:val="en-US" w:eastAsia="zh-CN" w:bidi="ar-SA"/>
        </w:rPr>
        <w:t>按照时间节点高质量完成办会。</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lang w:val="zh-CN" w:eastAsia="zh-CN"/>
        </w:rPr>
      </w:pPr>
      <w:r>
        <w:rPr>
          <w:rFonts w:hint="default" w:ascii="仿宋_GB2312" w:hAnsi="仿宋_GB2312" w:eastAsia="仿宋_GB2312" w:cs="仿宋_GB2312"/>
          <w:sz w:val="32"/>
          <w:szCs w:val="32"/>
          <w:lang w:val="en-US" w:eastAsia="zh-CN"/>
        </w:rPr>
        <w:t>自评采用定量与定性评价相结合的比较法。</w:t>
      </w:r>
    </w:p>
    <w:p>
      <w:pPr>
        <w:keepNext w:val="0"/>
        <w:keepLines w:val="0"/>
        <w:pageBreakBefore w:val="0"/>
        <w:widowControl w:val="0"/>
        <w:numPr>
          <w:ilvl w:val="0"/>
          <w:numId w:val="0"/>
        </w:numPr>
        <w:suppressAutoHyphens/>
        <w:kinsoku/>
        <w:wordWrap/>
        <w:overflowPunct/>
        <w:topLinePunct w:val="0"/>
        <w:autoSpaceDE/>
        <w:autoSpaceDN/>
        <w:bidi w:val="0"/>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（五）评价组织。</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lang w:eastAsia="zh-CN"/>
        </w:rPr>
      </w:pPr>
      <w:r>
        <w:rPr>
          <w:rFonts w:hint="default"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val="en-US" w:eastAsia="zh-CN"/>
        </w:rPr>
        <w:t>局</w:t>
      </w:r>
      <w:r>
        <w:rPr>
          <w:rFonts w:hint="default" w:ascii="仿宋_GB2312" w:hAnsi="仿宋_GB2312" w:eastAsia="仿宋_GB2312" w:cs="仿宋_GB2312"/>
          <w:sz w:val="32"/>
          <w:szCs w:val="32"/>
          <w:lang w:val="en-US" w:eastAsia="zh-CN"/>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sz w:val="32"/>
          <w:szCs w:val="32"/>
          <w:lang w:val="en-US" w:eastAsia="zh-CN"/>
        </w:rPr>
        <w:t>局办公室</w:t>
      </w:r>
      <w:r>
        <w:rPr>
          <w:rFonts w:hint="default" w:ascii="仿宋_GB2312" w:hAnsi="仿宋_GB2312" w:eastAsia="仿宋_GB2312" w:cs="仿宋_GB2312"/>
          <w:sz w:val="32"/>
          <w:szCs w:val="32"/>
          <w:lang w:val="en-US" w:eastAsia="zh-CN"/>
        </w:rPr>
        <w:t>收集整理</w:t>
      </w:r>
      <w:r>
        <w:rPr>
          <w:rFonts w:hint="eastAsia" w:ascii="仿宋_GB2312" w:hAnsi="仿宋_GB2312" w:eastAsia="仿宋_GB2312" w:cs="仿宋_GB2312"/>
          <w:sz w:val="32"/>
          <w:szCs w:val="32"/>
          <w:lang w:val="en-US" w:eastAsia="zh-CN"/>
        </w:rPr>
        <w:t>该项目</w:t>
      </w:r>
      <w:r>
        <w:rPr>
          <w:rFonts w:hint="default" w:ascii="仿宋_GB2312" w:hAnsi="仿宋_GB2312" w:eastAsia="仿宋_GB2312" w:cs="仿宋_GB2312"/>
          <w:sz w:val="32"/>
          <w:szCs w:val="32"/>
          <w:lang w:val="en-US" w:eastAsia="zh-CN"/>
        </w:rPr>
        <w:t>数据，落实项目实施、运行及资金使用情况，并对所有数据材料进行汇总、分析，形成绩效自评报告。</w:t>
      </w:r>
    </w:p>
    <w:p>
      <w:pPr>
        <w:keepNext w:val="0"/>
        <w:keepLines w:val="0"/>
        <w:pageBreakBefore w:val="0"/>
        <w:suppressAutoHyphens/>
        <w:kinsoku/>
        <w:wordWrap/>
        <w:overflowPunct/>
        <w:topLinePunct w:val="0"/>
        <w:autoSpaceDE/>
        <w:autoSpaceDN/>
        <w:bidi w:val="0"/>
        <w:adjustRightInd w:val="0"/>
        <w:snapToGrid w:val="0"/>
        <w:spacing w:line="576" w:lineRule="exact"/>
        <w:ind w:left="0" w:leftChars="0"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2" w:firstLineChars="20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根据年度工作计划，报市主要领导批准后实施该项目。</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suppressLineNumbers w:val="0"/>
        <w:kinsoku/>
        <w:wordWrap/>
        <w:overflowPunct/>
        <w:topLinePunct w:val="0"/>
        <w:autoSpaceDE/>
        <w:autoSpaceDN/>
        <w:bidi w:val="0"/>
        <w:adjustRightInd/>
        <w:snapToGrid/>
        <w:spacing w:line="576" w:lineRule="exact"/>
        <w:ind w:left="0" w:leftChars="0"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资本市场科为该项目的主管科室，负责</w:t>
      </w:r>
      <w:r>
        <w:rPr>
          <w:rFonts w:hint="eastAsia" w:ascii="Times New Roman" w:hAnsi="Times New Roman" w:eastAsia="仿宋_GB2312" w:cs="Times New Roman"/>
          <w:bCs/>
          <w:sz w:val="32"/>
          <w:szCs w:val="32"/>
          <w:highlight w:val="none"/>
          <w:u w:val="none"/>
          <w:lang w:val="en-US" w:eastAsia="zh-CN"/>
        </w:rPr>
        <w:t>会议主题和议程</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准备好会议所需的各类资料</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包括会议议程、会议材料、发言稿等</w:t>
      </w:r>
      <w:r>
        <w:rPr>
          <w:rFonts w:hint="eastAsia" w:eastAsia="仿宋_GB2312" w:cs="Times New Roman"/>
          <w:bCs/>
          <w:sz w:val="32"/>
          <w:szCs w:val="32"/>
          <w:highlight w:val="none"/>
          <w:u w:val="none"/>
          <w:lang w:val="en-US" w:eastAsia="zh-CN"/>
        </w:rPr>
        <w:t>，</w:t>
      </w:r>
      <w:r>
        <w:rPr>
          <w:rFonts w:hint="eastAsia" w:ascii="Times New Roman" w:hAnsi="Times New Roman" w:eastAsia="仿宋_GB2312" w:cs="Times New Roman"/>
          <w:bCs/>
          <w:sz w:val="32"/>
          <w:szCs w:val="32"/>
          <w:highlight w:val="none"/>
          <w:u w:val="none"/>
          <w:lang w:val="en-US" w:eastAsia="zh-CN"/>
        </w:rPr>
        <w:t>确保会议进行顺利</w:t>
      </w:r>
      <w:r>
        <w:rPr>
          <w:rFonts w:hint="eastAsia" w:ascii="仿宋_GB2312" w:hAnsi="仿宋_GB2312" w:eastAsia="仿宋_GB2312" w:cs="仿宋_GB2312"/>
          <w:color w:val="auto"/>
          <w:sz w:val="32"/>
          <w:szCs w:val="32"/>
          <w:lang w:val="en-US" w:eastAsia="zh-CN"/>
        </w:rPr>
        <w:t>。</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围绕</w:t>
      </w:r>
      <w:r>
        <w:rPr>
          <w:rFonts w:hint="eastAsia" w:eastAsia="仿宋_GB2312"/>
          <w:bCs/>
          <w:color w:val="000000"/>
          <w:sz w:val="32"/>
          <w:szCs w:val="32"/>
        </w:rPr>
        <w:t>召开</w:t>
      </w:r>
      <w:r>
        <w:rPr>
          <w:rFonts w:hint="eastAsia" w:eastAsia="仿宋_GB2312"/>
          <w:bCs/>
          <w:color w:val="000000"/>
          <w:sz w:val="32"/>
          <w:szCs w:val="32"/>
          <w:lang w:val="en-US" w:eastAsia="zh-CN"/>
        </w:rPr>
        <w:t>资本市场</w:t>
      </w:r>
      <w:r>
        <w:rPr>
          <w:rFonts w:hint="eastAsia" w:eastAsia="仿宋_GB2312"/>
          <w:bCs/>
          <w:color w:val="000000"/>
          <w:sz w:val="32"/>
          <w:szCs w:val="32"/>
        </w:rPr>
        <w:t>支持广元经济高质量发展暨乡村振兴融资对接会</w:t>
      </w:r>
      <w:r>
        <w:rPr>
          <w:rFonts w:hint="eastAsia" w:eastAsia="仿宋_GB2312"/>
          <w:bCs/>
          <w:color w:val="000000"/>
          <w:sz w:val="32"/>
          <w:szCs w:val="32"/>
          <w:lang w:eastAsia="zh-CN"/>
        </w:rPr>
        <w:t>的</w:t>
      </w:r>
      <w:r>
        <w:rPr>
          <w:rFonts w:hint="eastAsia" w:ascii="仿宋_GB2312" w:hAnsi="仿宋_GB2312" w:eastAsia="仿宋_GB2312" w:cs="仿宋_GB2312"/>
          <w:b w:val="0"/>
          <w:bCs w:val="0"/>
          <w:color w:val="auto"/>
          <w:kern w:val="0"/>
          <w:position w:val="0"/>
          <w:sz w:val="32"/>
          <w:szCs w:val="32"/>
          <w:highlight w:val="none"/>
          <w:lang w:val="zh-CN" w:eastAsia="zh-CN" w:bidi="ar-SA"/>
        </w:rPr>
        <w:t>预算执行、资金使用进行绩效分析。</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4.项目结果。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项目</w:t>
      </w:r>
      <w:r>
        <w:rPr>
          <w:rFonts w:hint="eastAsia" w:ascii="仿宋_GB2312" w:hAnsi="仿宋_GB2312" w:eastAsia="仿宋_GB2312" w:cs="仿宋_GB2312"/>
          <w:b w:val="0"/>
          <w:bCs w:val="0"/>
          <w:color w:val="auto"/>
          <w:kern w:val="0"/>
          <w:position w:val="0"/>
          <w:sz w:val="32"/>
          <w:szCs w:val="32"/>
          <w:highlight w:val="none"/>
          <w:lang w:val="zh-CN" w:eastAsia="zh-CN" w:bidi="ar-SA"/>
        </w:rPr>
        <w:t>资金无结余和违规记录，</w:t>
      </w:r>
      <w:r>
        <w:rPr>
          <w:rFonts w:hint="eastAsia" w:ascii="仿宋_GB2312" w:hAnsi="仿宋_GB2312" w:eastAsia="仿宋_GB2312" w:cs="仿宋_GB2312"/>
          <w:b w:val="0"/>
          <w:bCs w:val="0"/>
          <w:color w:val="auto"/>
          <w:kern w:val="0"/>
          <w:position w:val="0"/>
          <w:sz w:val="32"/>
          <w:szCs w:val="32"/>
          <w:highlight w:val="none"/>
          <w:lang w:val="en-US" w:eastAsia="zh-CN" w:bidi="ar-SA"/>
        </w:rPr>
        <w:t>通过实施该项目，2023年 6月16日下午，资本市场支持广元经济高质量发展融资对接会在我市成功召开。</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en-US" w:eastAsia="zh-CN"/>
        </w:rPr>
        <w:t>（二）专用指标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提高拟上市企业上市积极性，政策知晓率。</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会议费严格按照</w:t>
      </w:r>
      <w:r>
        <w:rPr>
          <w:rFonts w:hint="eastAsia" w:ascii="仿宋_GB2312" w:hAnsi="仿宋_GB2312" w:eastAsia="仿宋_GB2312" w:cs="仿宋_GB2312"/>
          <w:sz w:val="32"/>
          <w:szCs w:val="32"/>
          <w:lang w:eastAsia="zh-CN"/>
        </w:rPr>
        <w:t>中共广元市委、广元市人民政府</w:t>
      </w:r>
      <w:r>
        <w:rPr>
          <w:rFonts w:hint="eastAsia" w:ascii="仿宋_GB2312" w:hAnsi="仿宋_GB2312" w:eastAsia="仿宋_GB2312" w:cs="仿宋_GB2312"/>
          <w:b w:val="0"/>
          <w:bCs w:val="0"/>
          <w:color w:val="auto"/>
          <w:kern w:val="0"/>
          <w:position w:val="0"/>
          <w:sz w:val="32"/>
          <w:szCs w:val="32"/>
          <w:highlight w:val="none"/>
          <w:lang w:val="zh-CN" w:eastAsia="zh-CN" w:bidi="ar-SA"/>
        </w:rPr>
        <w:t>《广元市市级机关会议费管理办法》</w:t>
      </w:r>
      <w:r>
        <w:rPr>
          <w:rFonts w:hint="eastAsia" w:ascii="仿宋_GB2312" w:hAnsi="仿宋_GB2312" w:eastAsia="仿宋_GB2312" w:cs="仿宋_GB2312"/>
          <w:sz w:val="32"/>
          <w:szCs w:val="32"/>
          <w:lang w:val="en-US" w:eastAsia="zh-CN"/>
        </w:rPr>
        <w:t>（广委办</w:t>
      </w:r>
      <w:r>
        <w:rPr>
          <w:rFonts w:hint="eastAsia" w:eastAsia="仿宋_GB2312"/>
          <w:sz w:val="32"/>
          <w:szCs w:val="32"/>
        </w:rPr>
        <w:t>〔</w:t>
      </w:r>
      <w:r>
        <w:rPr>
          <w:rFonts w:hint="eastAsia" w:ascii="仿宋_GB2312" w:hAnsi="仿宋_GB2312" w:eastAsia="仿宋_GB2312" w:cs="仿宋_GB2312"/>
          <w:sz w:val="32"/>
          <w:szCs w:val="32"/>
          <w:lang w:val="en-US" w:eastAsia="zh-CN"/>
        </w:rPr>
        <w:t>2014</w:t>
      </w:r>
      <w:r>
        <w:rPr>
          <w:rFonts w:hint="eastAsia" w:eastAsia="仿宋_GB2312"/>
          <w:sz w:val="32"/>
          <w:szCs w:val="32"/>
        </w:rPr>
        <w:t>〕</w:t>
      </w:r>
      <w:r>
        <w:rPr>
          <w:rFonts w:hint="eastAsia" w:ascii="仿宋_GB2312" w:hAnsi="仿宋_GB2312" w:eastAsia="仿宋_GB2312" w:cs="仿宋_GB2312"/>
          <w:sz w:val="32"/>
          <w:szCs w:val="32"/>
          <w:lang w:val="en-US" w:eastAsia="zh-CN"/>
        </w:rPr>
        <w:t>66号）的要求</w:t>
      </w:r>
      <w:r>
        <w:rPr>
          <w:rFonts w:hint="eastAsia" w:ascii="仿宋_GB2312" w:hAnsi="仿宋_GB2312" w:eastAsia="仿宋_GB2312" w:cs="仿宋_GB2312"/>
          <w:b w:val="0"/>
          <w:bCs w:val="0"/>
          <w:color w:val="auto"/>
          <w:kern w:val="0"/>
          <w:position w:val="0"/>
          <w:sz w:val="32"/>
          <w:szCs w:val="32"/>
          <w:highlight w:val="none"/>
          <w:lang w:val="zh-CN" w:eastAsia="zh-CN" w:bidi="ar-SA"/>
        </w:rPr>
        <w:t>执行。</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200"/>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rPr>
      </w:pPr>
      <w:r>
        <w:rPr>
          <w:rFonts w:hint="eastAsia" w:ascii="楷体_GB2312" w:hAnsi="宋体" w:eastAsia="楷体_GB2312" w:cs="Times New Roman"/>
          <w:b/>
          <w:color w:val="auto"/>
          <w:sz w:val="32"/>
          <w:szCs w:val="32"/>
          <w:highlight w:val="none"/>
          <w:u w:val="none"/>
          <w:lang w:val="en-US" w:eastAsia="zh-CN"/>
        </w:rPr>
        <w:t>（三）个性指标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6" w:lineRule="exact"/>
        <w:ind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zh-CN" w:eastAsia="zh-CN" w:bidi="ar-SA"/>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default" w:ascii="Times New Roman" w:hAnsi="Times New Roman" w:eastAsia="仿宋_GB2312" w:cs="Times New Roman"/>
          <w:b w:val="0"/>
          <w:bCs/>
          <w:color w:val="auto"/>
          <w:kern w:val="0"/>
          <w:sz w:val="32"/>
          <w:szCs w:val="32"/>
          <w:lang w:val="en-US" w:eastAsia="zh-CN" w:bidi="ar"/>
        </w:rPr>
      </w:pPr>
      <w:r>
        <w:rPr>
          <w:rFonts w:hint="eastAsia" w:ascii="仿宋_GB2312" w:hAnsi="仿宋_GB2312" w:eastAsia="仿宋_GB2312" w:cs="仿宋_GB2312"/>
          <w:b w:val="0"/>
          <w:bCs w:val="0"/>
          <w:color w:val="auto"/>
          <w:kern w:val="0"/>
          <w:position w:val="0"/>
          <w:sz w:val="32"/>
          <w:szCs w:val="32"/>
          <w:highlight w:val="none"/>
          <w:lang w:val="en-US" w:eastAsia="zh-CN" w:bidi="ar-SA"/>
        </w:rPr>
        <w:t>成功召开</w:t>
      </w:r>
      <w:r>
        <w:rPr>
          <w:rFonts w:hint="eastAsia" w:eastAsia="仿宋_GB2312"/>
          <w:bCs/>
          <w:color w:val="000000"/>
          <w:sz w:val="32"/>
          <w:szCs w:val="32"/>
        </w:rPr>
        <w:t>四川省金融支持广元经济高质量发展暨乡村振兴融资对接会</w:t>
      </w:r>
      <w:r>
        <w:rPr>
          <w:rFonts w:hint="eastAsia" w:eastAsia="仿宋_GB2312"/>
          <w:bCs/>
          <w:color w:val="000000"/>
          <w:sz w:val="32"/>
          <w:szCs w:val="32"/>
          <w:lang w:eastAsia="zh-CN"/>
        </w:rPr>
        <w:t>，</w:t>
      </w:r>
      <w:r>
        <w:rPr>
          <w:rFonts w:hint="eastAsia" w:eastAsia="仿宋_GB2312" w:cs="Times New Roman"/>
          <w:b w:val="0"/>
          <w:bCs/>
          <w:color w:val="auto"/>
          <w:kern w:val="0"/>
          <w:sz w:val="32"/>
          <w:szCs w:val="32"/>
          <w:lang w:val="en-US" w:eastAsia="zh-CN" w:bidi="ar"/>
        </w:rPr>
        <w:t>全面</w:t>
      </w:r>
      <w:r>
        <w:rPr>
          <w:rFonts w:hint="eastAsia" w:ascii="Times New Roman" w:hAnsi="Times New Roman" w:eastAsia="仿宋_GB2312" w:cs="Times New Roman"/>
          <w:b w:val="0"/>
          <w:bCs/>
          <w:color w:val="auto"/>
          <w:kern w:val="0"/>
          <w:sz w:val="32"/>
          <w:szCs w:val="32"/>
          <w:lang w:val="en-US" w:eastAsia="zh-CN" w:bidi="ar"/>
        </w:rPr>
        <w:t>贯彻</w:t>
      </w:r>
      <w:r>
        <w:rPr>
          <w:rFonts w:hint="eastAsia" w:eastAsia="仿宋_GB2312" w:cs="Times New Roman"/>
          <w:b w:val="0"/>
          <w:bCs/>
          <w:color w:val="auto"/>
          <w:kern w:val="0"/>
          <w:sz w:val="32"/>
          <w:szCs w:val="32"/>
          <w:lang w:val="en-US" w:eastAsia="zh-CN" w:bidi="ar"/>
        </w:rPr>
        <w:t>落实</w:t>
      </w:r>
      <w:r>
        <w:rPr>
          <w:rFonts w:hint="eastAsia" w:ascii="Times New Roman" w:hAnsi="Times New Roman" w:eastAsia="仿宋_GB2312" w:cs="Times New Roman"/>
          <w:b w:val="0"/>
          <w:bCs/>
          <w:color w:val="auto"/>
          <w:kern w:val="0"/>
          <w:sz w:val="32"/>
          <w:szCs w:val="32"/>
          <w:lang w:val="en-US" w:eastAsia="zh-CN" w:bidi="ar"/>
        </w:rPr>
        <w:t>党中央国务院</w:t>
      </w:r>
      <w:r>
        <w:rPr>
          <w:rFonts w:hint="eastAsia" w:eastAsia="仿宋_GB2312" w:cs="Times New Roman"/>
          <w:b w:val="0"/>
          <w:bCs/>
          <w:color w:val="auto"/>
          <w:kern w:val="0"/>
          <w:sz w:val="32"/>
          <w:szCs w:val="32"/>
          <w:lang w:val="en-US" w:eastAsia="zh-CN" w:bidi="ar"/>
        </w:rPr>
        <w:t>、</w:t>
      </w:r>
      <w:r>
        <w:rPr>
          <w:rFonts w:hint="eastAsia" w:ascii="Times New Roman" w:hAnsi="Times New Roman" w:eastAsia="仿宋_GB2312" w:cs="Times New Roman"/>
          <w:b w:val="0"/>
          <w:bCs/>
          <w:color w:val="auto"/>
          <w:kern w:val="0"/>
          <w:sz w:val="32"/>
          <w:szCs w:val="32"/>
          <w:lang w:val="en-US" w:eastAsia="zh-CN" w:bidi="ar"/>
        </w:rPr>
        <w:t>省委省政府关于</w:t>
      </w:r>
      <w:r>
        <w:rPr>
          <w:rFonts w:hint="eastAsia" w:eastAsia="仿宋_GB2312" w:cs="Times New Roman"/>
          <w:b w:val="0"/>
          <w:bCs/>
          <w:color w:val="auto"/>
          <w:kern w:val="0"/>
          <w:sz w:val="32"/>
          <w:szCs w:val="32"/>
          <w:lang w:val="en-US" w:eastAsia="zh-CN" w:bidi="ar"/>
        </w:rPr>
        <w:t>加强资本市场建设决策部署</w:t>
      </w:r>
      <w:r>
        <w:rPr>
          <w:rFonts w:hint="default" w:ascii="Times New Roman" w:hAnsi="Times New Roman" w:eastAsia="仿宋_GB2312" w:cs="Times New Roman"/>
          <w:b w:val="0"/>
          <w:bCs/>
          <w:color w:val="auto"/>
          <w:kern w:val="0"/>
          <w:sz w:val="32"/>
          <w:szCs w:val="32"/>
          <w:lang w:val="en-US" w:eastAsia="zh-CN" w:bidi="ar"/>
        </w:rPr>
        <w:t>，</w:t>
      </w:r>
      <w:r>
        <w:rPr>
          <w:rFonts w:hint="eastAsia" w:eastAsia="仿宋_GB2312" w:cs="Times New Roman"/>
          <w:b w:val="0"/>
          <w:bCs/>
          <w:color w:val="auto"/>
          <w:kern w:val="0"/>
          <w:sz w:val="32"/>
          <w:szCs w:val="32"/>
          <w:lang w:val="en-US" w:eastAsia="zh-CN" w:bidi="ar"/>
        </w:rPr>
        <w:t>深化务实合作，构建长效机制，着力提升资本市场服务实体经济能力，助推</w:t>
      </w:r>
      <w:r>
        <w:rPr>
          <w:rFonts w:hint="eastAsia" w:ascii="Times New Roman" w:hAnsi="Times New Roman" w:eastAsia="仿宋_GB2312" w:cs="Times New Roman"/>
          <w:b w:val="0"/>
          <w:bCs/>
          <w:color w:val="auto"/>
          <w:kern w:val="0"/>
          <w:sz w:val="32"/>
          <w:szCs w:val="32"/>
          <w:lang w:val="en-US" w:eastAsia="zh-CN" w:bidi="ar"/>
        </w:rPr>
        <w:t>广元经济</w:t>
      </w:r>
      <w:r>
        <w:rPr>
          <w:rFonts w:hint="eastAsia" w:eastAsia="仿宋_GB2312" w:cs="Times New Roman"/>
          <w:b w:val="0"/>
          <w:bCs/>
          <w:color w:val="auto"/>
          <w:kern w:val="0"/>
          <w:sz w:val="32"/>
          <w:szCs w:val="32"/>
          <w:lang w:val="en-US" w:eastAsia="zh-CN" w:bidi="ar"/>
        </w:rPr>
        <w:t>社会</w:t>
      </w:r>
      <w:r>
        <w:rPr>
          <w:rFonts w:hint="eastAsia" w:ascii="Times New Roman" w:hAnsi="Times New Roman" w:eastAsia="仿宋_GB2312" w:cs="Times New Roman"/>
          <w:b w:val="0"/>
          <w:bCs/>
          <w:color w:val="auto"/>
          <w:kern w:val="0"/>
          <w:sz w:val="32"/>
          <w:szCs w:val="32"/>
          <w:lang w:val="en-US" w:eastAsia="zh-CN" w:bidi="ar"/>
        </w:rPr>
        <w:t>高质量发展</w:t>
      </w:r>
      <w:r>
        <w:rPr>
          <w:rFonts w:hint="default" w:ascii="Times New Roman" w:hAnsi="Times New Roman" w:eastAsia="仿宋_GB2312" w:cs="Times New Roman"/>
          <w:b w:val="0"/>
          <w:bCs/>
          <w:color w:val="auto"/>
          <w:kern w:val="0"/>
          <w:sz w:val="32"/>
          <w:szCs w:val="32"/>
          <w:lang w:val="en-US" w:eastAsia="zh-CN" w:bidi="ar"/>
        </w:rPr>
        <w:t>。</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五、存在主要问题</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leftChars="0"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keepNext w:val="0"/>
        <w:keepLines w:val="0"/>
        <w:pageBreakBefore w:val="0"/>
        <w:tabs>
          <w:tab w:val="left" w:pos="1911"/>
        </w:tabs>
        <w:suppressAutoHyphens/>
        <w:kinsoku/>
        <w:wordWrap/>
        <w:overflowPunct/>
        <w:topLinePunct w:val="0"/>
        <w:bidi w:val="0"/>
        <w:spacing w:line="576" w:lineRule="exact"/>
        <w:ind w:left="0" w:leftChars="0" w:firstLine="640" w:firstLineChars="200"/>
        <w:jc w:val="left"/>
        <w:textAlignment w:val="auto"/>
        <w:rPr>
          <w:rFonts w:hint="eastAsia" w:ascii="仿宋_GB2312" w:hAnsi="仿宋_GB2312" w:eastAsia="仿宋_GB2312" w:cs="仿宋_GB2312"/>
          <w:b w:val="0"/>
          <w:bCs w:val="0"/>
          <w:color w:val="auto"/>
          <w:kern w:val="0"/>
          <w:position w:val="0"/>
          <w:sz w:val="32"/>
          <w:szCs w:val="32"/>
          <w:highlight w:val="none"/>
          <w:lang w:val="en"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rPr>
          <w:rFonts w:hint="eastAsi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keepNext w:val="0"/>
        <w:keepLines w:val="0"/>
        <w:pageBreakBefore w:val="0"/>
        <w:widowControl w:val="0"/>
        <w:kinsoku/>
        <w:wordWrap/>
        <w:overflowPunct/>
        <w:topLinePunct w:val="0"/>
        <w:autoSpaceDE/>
        <w:autoSpaceDN/>
        <w:bidi w:val="0"/>
        <w:spacing w:line="578" w:lineRule="exact"/>
        <w:jc w:val="both"/>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pStyle w:val="2"/>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pStyle w:val="2"/>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pStyle w:val="2"/>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kern w:val="2"/>
          <w:sz w:val="44"/>
          <w:szCs w:val="44"/>
          <w:highlight w:val="none"/>
          <w:lang w:val="en-US" w:eastAsia="zh-CN" w:bidi="ar-SA"/>
        </w:rPr>
        <w:t>广元市金融工作局</w:t>
      </w:r>
    </w:p>
    <w:p>
      <w:pPr>
        <w:keepNext w:val="0"/>
        <w:keepLines w:val="0"/>
        <w:pageBreakBefore w:val="0"/>
        <w:widowControl w:val="0"/>
        <w:kinsoku/>
        <w:wordWrap/>
        <w:overflowPunct/>
        <w:topLinePunct w:val="0"/>
        <w:autoSpaceDE/>
        <w:autoSpaceDN/>
        <w:bidi w:val="0"/>
        <w:spacing w:line="578" w:lineRule="exact"/>
        <w:jc w:val="center"/>
        <w:textAlignment w:val="auto"/>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pPr>
      <w:r>
        <w:rPr>
          <w:rFonts w:hint="eastAsia" w:ascii="方正小标宋简体" w:hAnsi="方正小标宋简体" w:eastAsia="方正小标宋简体" w:cs="方正小标宋简体"/>
          <w:b w:val="0"/>
          <w:bCs w:val="0"/>
          <w:color w:val="auto"/>
          <w:spacing w:val="-23"/>
          <w:w w:val="96"/>
          <w:kern w:val="2"/>
          <w:sz w:val="44"/>
          <w:szCs w:val="44"/>
          <w:highlight w:val="none"/>
          <w:lang w:val="en-US" w:eastAsia="zh-CN" w:bidi="ar-SA"/>
        </w:rPr>
        <w:t>关于2023年专项资金预算项目支出绩效自评报告</w:t>
      </w:r>
    </w:p>
    <w:p>
      <w:pPr>
        <w:keepNext w:val="0"/>
        <w:keepLines w:val="0"/>
        <w:pageBreakBefore w:val="0"/>
        <w:widowControl w:val="0"/>
        <w:kinsoku/>
        <w:wordWrap/>
        <w:overflowPunct/>
        <w:topLinePunct w:val="0"/>
        <w:autoSpaceDE/>
        <w:autoSpaceDN/>
        <w:bidi w:val="0"/>
        <w:spacing w:line="578" w:lineRule="exact"/>
        <w:ind w:firstLine="640"/>
        <w:jc w:val="center"/>
        <w:textAlignment w:val="auto"/>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w:t>
      </w:r>
      <w:r>
        <w:rPr>
          <w:rFonts w:hint="eastAsia" w:ascii="楷体_GB2312" w:hAnsi="楷体_GB2312" w:eastAsia="楷体_GB2312" w:cs="楷体_GB2312"/>
          <w:b w:val="0"/>
          <w:bCs w:val="0"/>
          <w:color w:val="auto"/>
          <w:kern w:val="2"/>
          <w:sz w:val="32"/>
          <w:szCs w:val="32"/>
          <w:highlight w:val="none"/>
          <w:lang w:val="zh-CN" w:eastAsia="zh-CN" w:bidi="ar-SA"/>
        </w:rPr>
        <w:t>项目融资工作</w:t>
      </w:r>
      <w:r>
        <w:rPr>
          <w:rFonts w:hint="eastAsia" w:ascii="楷体_GB2312" w:hAnsi="楷体_GB2312" w:eastAsia="楷体_GB2312" w:cs="楷体_GB2312"/>
          <w:b w:val="0"/>
          <w:bCs w:val="0"/>
          <w:color w:val="auto"/>
          <w:kern w:val="2"/>
          <w:sz w:val="32"/>
          <w:szCs w:val="32"/>
          <w:highlight w:val="none"/>
          <w:lang w:val="en-US" w:eastAsia="zh-CN" w:bidi="ar-SA"/>
        </w:rPr>
        <w:t>)</w:t>
      </w:r>
    </w:p>
    <w:p>
      <w:pPr>
        <w:pStyle w:val="2"/>
        <w:rPr>
          <w:rFonts w:hint="eastAsia"/>
          <w:lang w:val="en-US" w:eastAsia="zh-CN"/>
        </w:rPr>
      </w:pPr>
    </w:p>
    <w:p>
      <w:pPr>
        <w:keepNext w:val="0"/>
        <w:keepLines w:val="0"/>
        <w:pageBreakBefore w:val="0"/>
        <w:widowControl w:val="0"/>
        <w:kinsoku/>
        <w:wordWrap/>
        <w:overflowPunct/>
        <w:topLinePunct w:val="0"/>
        <w:autoSpaceDE/>
        <w:autoSpaceDN/>
        <w:bidi w:val="0"/>
        <w:spacing w:line="576" w:lineRule="exact"/>
        <w:ind w:leftChars="0" w:firstLine="640" w:firstLineChars="200"/>
        <w:jc w:val="both"/>
        <w:textAlignment w:val="auto"/>
        <w:rPr>
          <w:rFonts w:hint="eastAsia" w:ascii="黑体" w:hAnsi="宋体" w:eastAsia="黑体" w:cs="Times New Roman"/>
          <w:b w:val="0"/>
          <w:bCs w:val="0"/>
          <w:sz w:val="32"/>
          <w:szCs w:val="32"/>
          <w:lang w:val="zh-CN"/>
        </w:rPr>
      </w:pPr>
      <w:r>
        <w:rPr>
          <w:rFonts w:hint="eastAsia" w:ascii="黑体" w:hAnsi="宋体" w:eastAsia="黑体" w:cs="Times New Roman"/>
          <w:b w:val="0"/>
          <w:bCs w:val="0"/>
          <w:sz w:val="32"/>
          <w:szCs w:val="32"/>
          <w:lang w:val="zh-CN"/>
        </w:rPr>
        <w:t>一、项目概况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（一）设立背景及基本情况。</w:t>
      </w:r>
    </w:p>
    <w:p>
      <w:pPr>
        <w:keepNext w:val="0"/>
        <w:keepLines w:val="0"/>
        <w:pageBreakBefore w:val="0"/>
        <w:widowControl w:val="0"/>
        <w:kinsoku/>
        <w:wordWrap/>
        <w:overflowPunct/>
        <w:topLinePunct w:val="0"/>
        <w:autoSpaceDE/>
        <w:autoSpaceDN/>
        <w:bidi w:val="0"/>
        <w:snapToGrid w:val="0"/>
        <w:spacing w:line="576" w:lineRule="exact"/>
        <w:ind w:leftChars="0" w:firstLine="640" w:firstLineChars="200"/>
        <w:textAlignment w:val="auto"/>
        <w:rPr>
          <w:rFonts w:hint="eastAsia" w:ascii="Times New Roman" w:hAnsi="Times New Roman" w:eastAsia="仿宋_GB2312" w:cs="Times New Roman"/>
          <w:bCs/>
          <w:sz w:val="32"/>
          <w:szCs w:val="32"/>
          <w:highlight w:val="none"/>
          <w:u w:val="none"/>
          <w:lang w:val="zh-CN" w:eastAsia="zh-CN"/>
        </w:rPr>
      </w:pPr>
      <w:r>
        <w:rPr>
          <w:rFonts w:hint="eastAsia" w:ascii="Times New Roman" w:hAnsi="Times New Roman" w:eastAsia="仿宋_GB2312" w:cs="Times New Roman"/>
          <w:bCs/>
          <w:sz w:val="32"/>
          <w:szCs w:val="32"/>
          <w:highlight w:val="none"/>
          <w:u w:val="none"/>
          <w:lang w:val="zh-CN" w:eastAsia="zh-CN"/>
        </w:rPr>
        <w:t>项目融资工作主管部门为项目融资科，在该项目管理中的职能：根据市委、市政府202</w:t>
      </w:r>
      <w:r>
        <w:rPr>
          <w:rFonts w:hint="eastAsia" w:ascii="Times New Roman" w:hAnsi="Times New Roman" w:eastAsia="仿宋_GB2312" w:cs="Times New Roman"/>
          <w:bCs/>
          <w:sz w:val="32"/>
          <w:szCs w:val="32"/>
          <w:highlight w:val="none"/>
          <w:u w:val="none"/>
          <w:lang w:val="en-US" w:eastAsia="zh-CN"/>
        </w:rPr>
        <w:t>3</w:t>
      </w:r>
      <w:r>
        <w:rPr>
          <w:rFonts w:hint="eastAsia" w:ascii="Times New Roman" w:hAnsi="Times New Roman" w:eastAsia="仿宋_GB2312" w:cs="Times New Roman"/>
          <w:bCs/>
          <w:sz w:val="32"/>
          <w:szCs w:val="32"/>
          <w:highlight w:val="none"/>
          <w:u w:val="none"/>
          <w:lang w:val="zh-CN" w:eastAsia="zh-CN"/>
        </w:rPr>
        <w:t>年度重点项目建设规划，认真谋划，及时梳理、摸排202</w:t>
      </w:r>
      <w:r>
        <w:rPr>
          <w:rFonts w:hint="eastAsia" w:ascii="Times New Roman" w:hAnsi="Times New Roman" w:eastAsia="仿宋_GB2312" w:cs="Times New Roman"/>
          <w:bCs/>
          <w:sz w:val="32"/>
          <w:szCs w:val="32"/>
          <w:highlight w:val="none"/>
          <w:u w:val="none"/>
          <w:lang w:val="en-US" w:eastAsia="zh-CN"/>
        </w:rPr>
        <w:t>3</w:t>
      </w:r>
      <w:r>
        <w:rPr>
          <w:rFonts w:hint="eastAsia" w:ascii="Times New Roman" w:hAnsi="Times New Roman" w:eastAsia="仿宋_GB2312" w:cs="Times New Roman"/>
          <w:bCs/>
          <w:sz w:val="32"/>
          <w:szCs w:val="32"/>
          <w:highlight w:val="none"/>
          <w:u w:val="none"/>
          <w:lang w:val="zh-CN" w:eastAsia="zh-CN"/>
        </w:rPr>
        <w:t>年重点项目融资需求，同时，通过普惠金融服务中心、融资小分队到企业了解困难，协调金融机构为重点项目提供资金支持。</w:t>
      </w:r>
    </w:p>
    <w:p>
      <w:pPr>
        <w:keepNext w:val="0"/>
        <w:keepLines w:val="0"/>
        <w:pageBreakBefore w:val="0"/>
        <w:widowControl w:val="0"/>
        <w:kinsoku/>
        <w:wordWrap/>
        <w:overflowPunct/>
        <w:topLinePunct w:val="0"/>
        <w:autoSpaceDE/>
        <w:autoSpaceDN/>
        <w:bidi w:val="0"/>
        <w:adjustRightInd w:val="0"/>
        <w:snapToGrid w:val="0"/>
        <w:spacing w:line="576" w:lineRule="exact"/>
        <w:ind w:leftChars="0" w:firstLine="642" w:firstLineChars="200"/>
        <w:textAlignment w:val="auto"/>
        <w:rPr>
          <w:rFonts w:hint="eastAsia" w:ascii="仿宋_GB2312" w:hAnsi="宋体" w:eastAsia="仿宋_GB2312" w:cs="Times New Roman"/>
          <w:b/>
          <w:bCs/>
          <w:sz w:val="32"/>
          <w:szCs w:val="32"/>
          <w:lang w:val="zh-CN"/>
        </w:rPr>
      </w:pPr>
      <w:r>
        <w:rPr>
          <w:rFonts w:hint="eastAsia" w:ascii="楷体_GB2312" w:hAnsi="宋体" w:eastAsia="楷体_GB2312"/>
          <w:b/>
          <w:color w:val="auto"/>
          <w:sz w:val="32"/>
          <w:szCs w:val="32"/>
          <w:highlight w:val="none"/>
          <w:u w:val="none"/>
          <w:lang w:val="zh-CN"/>
        </w:rPr>
        <w:t>（</w:t>
      </w:r>
      <w:r>
        <w:rPr>
          <w:rFonts w:hint="eastAsia" w:ascii="楷体_GB2312" w:hAnsi="宋体" w:eastAsia="楷体_GB2312" w:cs="Times New Roman"/>
          <w:b/>
          <w:color w:val="auto"/>
          <w:sz w:val="32"/>
          <w:szCs w:val="32"/>
          <w:highlight w:val="none"/>
          <w:u w:val="none"/>
          <w:lang w:val="zh-CN"/>
        </w:rPr>
        <w:t>二）</w:t>
      </w: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cs="Times New Roman"/>
          <w:sz w:val="32"/>
          <w:szCs w:val="32"/>
          <w:lang w:eastAsia="zh-CN"/>
        </w:rPr>
      </w:pPr>
      <w:r>
        <w:rPr>
          <w:rFonts w:hint="eastAsia" w:ascii="仿宋_GB2312" w:hAnsi="宋体" w:eastAsia="仿宋_GB2312" w:cs="Times New Roman"/>
          <w:sz w:val="32"/>
          <w:szCs w:val="32"/>
          <w:lang w:eastAsia="zh-CN"/>
        </w:rPr>
        <w:t>为了进一步让银政企保资源得到了整合，信息得到了沟通，为企业融资提供了有效的路径，收到了较好的效果。通过政银保担企全方位对接，达成意向融资</w:t>
      </w:r>
      <w:r>
        <w:rPr>
          <w:rFonts w:hint="eastAsia" w:ascii="仿宋_GB2312" w:hAnsi="宋体" w:cs="Times New Roman"/>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en-US"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widowControl w:val="0"/>
        <w:kinsoku/>
        <w:wordWrap/>
        <w:overflowPunct/>
        <w:topLinePunct w:val="0"/>
        <w:autoSpaceDE/>
        <w:autoSpaceDN/>
        <w:bidi w:val="0"/>
        <w:adjustRightInd w:val="0"/>
        <w:snapToGrid w:val="0"/>
        <w:spacing w:line="576" w:lineRule="exact"/>
        <w:ind w:left="0"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项目预算资金不超过17.01万元，资金用于差旅费、会议费、宣传费、培训费等。</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eastAsia" w:ascii="楷体_GB2312" w:hAnsi="宋体" w:eastAsia="楷体_GB2312" w:cs="Times New Roman"/>
          <w:b/>
          <w:color w:val="auto"/>
          <w:sz w:val="32"/>
          <w:szCs w:val="32"/>
          <w:highlight w:val="none"/>
          <w:u w:val="none"/>
          <w:lang w:val="zh-CN" w:eastAsia="zh-CN"/>
        </w:rPr>
        <w:t>（四）项目绩效目标设置。</w:t>
      </w:r>
    </w:p>
    <w:tbl>
      <w:tblPr>
        <w:tblStyle w:val="1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32"/>
        <w:gridCol w:w="1650"/>
        <w:gridCol w:w="3010"/>
        <w:gridCol w:w="682"/>
        <w:gridCol w:w="1004"/>
        <w:gridCol w:w="9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重点项目融资对接会次数</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到省局、国开行、进出口银行对接次数</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组织银行、民营企业融资对接活动次数</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企业上市培训次数</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银行、民营融资对接会合同签订率</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银政企融资对接情况</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推进企业上市进度</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重点项目融资对接满意度</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银行、国企融资对接满意度</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68"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企业上市、入库宣讲培训</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融资对接活动会议费</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80100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报社、电视台、金融直播宣传费</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23"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968"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u w:val="none"/>
              </w:rPr>
            </w:pPr>
          </w:p>
        </w:tc>
        <w:tc>
          <w:tcPr>
            <w:tcW w:w="176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对接项目差旅费</w:t>
            </w:r>
          </w:p>
        </w:tc>
        <w:tc>
          <w:tcPr>
            <w:tcW w:w="40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89"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552"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r>
    </w:tbl>
    <w:p>
      <w:pPr>
        <w:pStyle w:val="27"/>
        <w:rPr>
          <w:rFonts w:hint="eastAsia"/>
          <w:lang w:val="zh-CN" w:eastAsia="zh-CN"/>
        </w:rPr>
      </w:pPr>
    </w:p>
    <w:p>
      <w:pPr>
        <w:keepNext w:val="0"/>
        <w:keepLines w:val="0"/>
        <w:pageBreakBefore w:val="0"/>
        <w:widowControl w:val="0"/>
        <w:suppressAutoHyphens/>
        <w:kinsoku/>
        <w:wordWrap/>
        <w:overflowPunct/>
        <w:topLinePunct w:val="0"/>
        <w:autoSpaceDE/>
        <w:autoSpaceDN/>
        <w:bidi w:val="0"/>
        <w:adjustRightInd w:val="0"/>
        <w:snapToGrid w:val="0"/>
        <w:spacing w:line="578" w:lineRule="exact"/>
        <w:ind w:firstLine="640" w:firstLineChars="200"/>
        <w:textAlignment w:val="auto"/>
        <w:outlineLvl w:val="9"/>
        <w:rPr>
          <w:rFonts w:hint="eastAsia" w:ascii="黑体" w:hAnsi="宋体" w:eastAsia="黑体" w:cs="Times New Roman"/>
          <w:color w:val="auto"/>
          <w:sz w:val="32"/>
          <w:szCs w:val="32"/>
          <w:highlight w:val="none"/>
          <w:lang w:eastAsia="zh-CN"/>
        </w:rPr>
      </w:pPr>
      <w:r>
        <w:rPr>
          <w:rFonts w:hint="eastAsia" w:ascii="黑体" w:hAnsi="宋体" w:eastAsia="黑体" w:cs="Times New Roman"/>
          <w:color w:val="auto"/>
          <w:sz w:val="32"/>
          <w:szCs w:val="32"/>
          <w:highlight w:val="none"/>
        </w:rPr>
        <w:t>二、</w:t>
      </w:r>
      <w:r>
        <w:rPr>
          <w:rFonts w:hint="eastAsia" w:ascii="黑体" w:hAnsi="宋体" w:eastAsia="黑体" w:cs="Times New Roman"/>
          <w:color w:val="auto"/>
          <w:sz w:val="32"/>
          <w:szCs w:val="32"/>
          <w:highlight w:val="none"/>
          <w:lang w:eastAsia="zh-CN"/>
        </w:rPr>
        <w:t>评价实施</w:t>
      </w:r>
    </w:p>
    <w:p>
      <w:pPr>
        <w:keepNext w:val="0"/>
        <w:keepLines w:val="0"/>
        <w:pageBreakBefore w:val="0"/>
        <w:widowControl w:val="0"/>
        <w:suppressAutoHyphens/>
        <w:kinsoku/>
        <w:wordWrap/>
        <w:overflowPunct/>
        <w:topLinePunct w:val="0"/>
        <w:autoSpaceDE/>
        <w:autoSpaceDN/>
        <w:bidi w:val="0"/>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（一）评价目的。</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1.评估项目目标的达成程度：对项目执行过程中的目标达成情况进行评估。</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2.发现问题并提出改进措施。</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lang w:val="zh-CN" w:eastAsia="zh-CN"/>
        </w:rPr>
      </w:pPr>
      <w:r>
        <w:rPr>
          <w:rFonts w:hint="eastAsia" w:ascii="仿宋_GB2312" w:hAnsi="仿宋_GB2312" w:eastAsia="仿宋_GB2312" w:cs="仿宋_GB2312"/>
          <w:color w:val="auto"/>
          <w:kern w:val="2"/>
          <w:sz w:val="32"/>
          <w:szCs w:val="32"/>
          <w:lang w:val="en-US" w:eastAsia="zh-CN" w:bidi="ar-SA"/>
        </w:rPr>
        <w:t>3.提高项目管理水平。通过对项目进行全面、系统的评估，发现问题和不足，及时总结经验教训。</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8"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（二）预设问题及评价重点。</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预设问题：</w:t>
      </w:r>
      <w:r>
        <w:rPr>
          <w:rFonts w:hint="eastAsia" w:ascii="仿宋_GB2312" w:hAnsi="仿宋_GB2312" w:eastAsia="仿宋_GB2312" w:cs="仿宋_GB2312"/>
          <w:sz w:val="32"/>
          <w:szCs w:val="32"/>
          <w:lang w:val="en-US" w:eastAsia="zh-CN"/>
        </w:rPr>
        <w:t>1.对重点企业、项目进行走访对接情况。2.重点企业、项目进行融资情况。</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lang w:val="zh-CN"/>
        </w:rPr>
      </w:pPr>
      <w:r>
        <w:rPr>
          <w:rFonts w:hint="eastAsia" w:ascii="仿宋_GB2312" w:hAnsi="仿宋_GB2312" w:eastAsia="仿宋_GB2312" w:cs="仿宋_GB2312"/>
          <w:sz w:val="32"/>
          <w:szCs w:val="32"/>
          <w:lang w:val="zh-CN" w:eastAsia="zh-CN"/>
        </w:rPr>
        <w:t>评价重点</w:t>
      </w:r>
      <w:r>
        <w:rPr>
          <w:rFonts w:hint="eastAsia" w:ascii="仿宋_GB2312" w:hAnsi="仿宋_GB2312" w:eastAsia="仿宋_GB2312" w:cs="仿宋_GB2312"/>
          <w:sz w:val="32"/>
          <w:szCs w:val="32"/>
          <w:lang w:val="en-US" w:eastAsia="zh-CN"/>
        </w:rPr>
        <w:t>：融资成效。</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8"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（三）评价选点。</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通过座谈、走访是否为重点企业、项目提供融资。</w:t>
      </w:r>
    </w:p>
    <w:p>
      <w:pPr>
        <w:keepNext w:val="0"/>
        <w:keepLines w:val="0"/>
        <w:pageBreakBefore w:val="0"/>
        <w:widowControl w:val="0"/>
        <w:numPr>
          <w:ilvl w:val="0"/>
          <w:numId w:val="0"/>
        </w:numPr>
        <w:suppressAutoHyphens/>
        <w:kinsoku/>
        <w:wordWrap/>
        <w:overflowPunct/>
        <w:topLinePunct w:val="0"/>
        <w:autoSpaceDE/>
        <w:autoSpaceDN/>
        <w:bidi w:val="0"/>
        <w:spacing w:line="578"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（四）评价方法。</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lang w:val="zh-CN" w:eastAsia="zh-CN"/>
        </w:rPr>
      </w:pPr>
      <w:r>
        <w:rPr>
          <w:rFonts w:hint="default" w:ascii="仿宋_GB2312" w:hAnsi="仿宋_GB2312" w:eastAsia="仿宋_GB2312" w:cs="仿宋_GB2312"/>
          <w:sz w:val="32"/>
          <w:szCs w:val="32"/>
          <w:lang w:val="en-US" w:eastAsia="zh-CN"/>
        </w:rPr>
        <w:t>自评采用定量与定性评价相结合的比较法。</w:t>
      </w:r>
    </w:p>
    <w:p>
      <w:pPr>
        <w:keepNext w:val="0"/>
        <w:keepLines w:val="0"/>
        <w:pageBreakBefore w:val="0"/>
        <w:widowControl w:val="0"/>
        <w:numPr>
          <w:ilvl w:val="0"/>
          <w:numId w:val="0"/>
        </w:numPr>
        <w:suppressAutoHyphens/>
        <w:kinsoku/>
        <w:wordWrap/>
        <w:overflowPunct/>
        <w:topLinePunct w:val="0"/>
        <w:autoSpaceDE/>
        <w:autoSpaceDN/>
        <w:bidi w:val="0"/>
        <w:spacing w:line="578" w:lineRule="exact"/>
        <w:ind w:leftChars="200"/>
        <w:textAlignment w:val="auto"/>
        <w:outlineLvl w:val="9"/>
        <w:rPr>
          <w:rFonts w:hint="eastAsia" w:ascii="楷体_GB2312" w:hAnsi="宋体" w:eastAsia="楷体_GB2312" w:cs="Times New Roman"/>
          <w:b/>
          <w:color w:val="auto"/>
          <w:sz w:val="32"/>
          <w:szCs w:val="32"/>
          <w:highlight w:val="none"/>
          <w:u w:val="none"/>
          <w:lang w:val="zh-CN"/>
        </w:rPr>
      </w:pPr>
      <w:r>
        <w:rPr>
          <w:rFonts w:hint="eastAsia" w:ascii="楷体_GB2312" w:hAnsi="宋体" w:eastAsia="楷体_GB2312" w:cs="Times New Roman"/>
          <w:b/>
          <w:color w:val="auto"/>
          <w:sz w:val="32"/>
          <w:szCs w:val="32"/>
          <w:highlight w:val="none"/>
          <w:u w:val="none"/>
          <w:lang w:val="zh-CN"/>
        </w:rPr>
        <w:t>（五）评价组织。</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eastAsia"/>
          <w:lang w:eastAsia="zh-CN"/>
        </w:rPr>
      </w:pPr>
      <w:r>
        <w:rPr>
          <w:rFonts w:hint="default"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lang w:val="en-US" w:eastAsia="zh-CN"/>
        </w:rPr>
        <w:t>局</w:t>
      </w:r>
      <w:r>
        <w:rPr>
          <w:rFonts w:hint="default" w:ascii="仿宋_GB2312" w:hAnsi="仿宋_GB2312" w:eastAsia="仿宋_GB2312" w:cs="仿宋_GB2312"/>
          <w:sz w:val="32"/>
          <w:szCs w:val="32"/>
          <w:lang w:val="en-US" w:eastAsia="zh-CN"/>
        </w:rPr>
        <w:t>充分认识财政支出项目绩效评价工作的重要和必要性，加强组织领导，落实项目自评工作具体工作人员，确保绩效资自评工作顺利进行，</w:t>
      </w:r>
      <w:r>
        <w:rPr>
          <w:rFonts w:hint="eastAsia" w:ascii="仿宋_GB2312" w:hAnsi="仿宋_GB2312" w:eastAsia="仿宋_GB2312" w:cs="仿宋_GB2312"/>
          <w:sz w:val="32"/>
          <w:szCs w:val="32"/>
          <w:lang w:val="en-US" w:eastAsia="zh-CN"/>
        </w:rPr>
        <w:t>局银保科</w:t>
      </w:r>
      <w:r>
        <w:rPr>
          <w:rFonts w:hint="default" w:ascii="仿宋_GB2312" w:hAnsi="仿宋_GB2312" w:eastAsia="仿宋_GB2312" w:cs="仿宋_GB2312"/>
          <w:sz w:val="32"/>
          <w:szCs w:val="32"/>
          <w:lang w:val="en-US" w:eastAsia="zh-CN"/>
        </w:rPr>
        <w:t>收集整理</w:t>
      </w:r>
      <w:r>
        <w:rPr>
          <w:rFonts w:hint="eastAsia" w:ascii="仿宋_GB2312" w:hAnsi="仿宋_GB2312" w:eastAsia="仿宋_GB2312" w:cs="仿宋_GB2312"/>
          <w:sz w:val="32"/>
          <w:szCs w:val="32"/>
          <w:lang w:val="en-US" w:eastAsia="zh-CN"/>
        </w:rPr>
        <w:t>该项目</w:t>
      </w:r>
      <w:r>
        <w:rPr>
          <w:rFonts w:hint="default" w:ascii="仿宋_GB2312" w:hAnsi="仿宋_GB2312" w:eastAsia="仿宋_GB2312" w:cs="仿宋_GB2312"/>
          <w:sz w:val="32"/>
          <w:szCs w:val="32"/>
          <w:lang w:val="en-US" w:eastAsia="zh-CN"/>
        </w:rPr>
        <w:t>数据，落实项目实施、运行及资金使用情况，并对所有数据材料进行汇总、分析，形成绩效自评报告。</w:t>
      </w:r>
    </w:p>
    <w:p>
      <w:pPr>
        <w:keepNext w:val="0"/>
        <w:keepLines w:val="0"/>
        <w:pageBreakBefore w:val="0"/>
        <w:suppressAutoHyphens/>
        <w:kinsoku/>
        <w:wordWrap/>
        <w:overflowPunct/>
        <w:topLinePunct w:val="0"/>
        <w:autoSpaceDE/>
        <w:autoSpaceDN/>
        <w:bidi w:val="0"/>
        <w:adjustRightInd w:val="0"/>
        <w:snapToGrid w:val="0"/>
        <w:spacing w:line="578" w:lineRule="exact"/>
        <w:ind w:firstLine="640" w:firstLineChars="200"/>
        <w:textAlignment w:val="auto"/>
        <w:rPr>
          <w:rFonts w:ascii="仿宋_GB2312" w:hAnsi="宋体" w:eastAsia="宋体" w:cs="Times New Roman"/>
          <w:color w:val="auto"/>
          <w:sz w:val="32"/>
          <w:szCs w:val="32"/>
          <w:highlight w:val="none"/>
          <w:u w:val="none"/>
          <w:lang w:val="zh-CN"/>
        </w:rPr>
      </w:pPr>
      <w:r>
        <w:rPr>
          <w:rFonts w:hint="eastAsia" w:ascii="黑体" w:hAnsi="宋体" w:eastAsia="黑体" w:cs="Times New Roman"/>
          <w:color w:val="auto"/>
          <w:sz w:val="32"/>
          <w:szCs w:val="32"/>
          <w:highlight w:val="none"/>
          <w:u w:val="none"/>
        </w:rPr>
        <w:t>三、</w:t>
      </w:r>
      <w:r>
        <w:rPr>
          <w:rFonts w:hint="eastAsia" w:ascii="黑体" w:hAnsi="宋体" w:eastAsia="黑体" w:cs="Times New Roman"/>
          <w:color w:val="auto"/>
          <w:sz w:val="32"/>
          <w:szCs w:val="32"/>
          <w:highlight w:val="none"/>
          <w:u w:val="none"/>
          <w:lang w:eastAsia="zh-CN"/>
        </w:rPr>
        <w:t>绩效分析</w:t>
      </w:r>
      <w:r>
        <w:rPr>
          <w:rFonts w:hint="eastAsia" w:ascii="仿宋_GB2312" w:hAnsi="宋体" w:eastAsia="宋体" w:cs="Times New Roman"/>
          <w:color w:val="auto"/>
          <w:sz w:val="32"/>
          <w:szCs w:val="32"/>
          <w:highlight w:val="none"/>
          <w:u w:val="none"/>
          <w:lang w:val="zh-CN"/>
        </w:rPr>
        <w:tab/>
      </w:r>
    </w:p>
    <w:p>
      <w:pPr>
        <w:keepNext w:val="0"/>
        <w:keepLines w:val="0"/>
        <w:pageBreakBefore w:val="0"/>
        <w:widowControl w:val="0"/>
        <w:suppressAutoHyphens/>
        <w:kinsoku/>
        <w:wordWrap/>
        <w:overflowPunct/>
        <w:topLinePunct w:val="0"/>
        <w:autoSpaceDE/>
        <w:autoSpaceDN/>
        <w:bidi w:val="0"/>
        <w:adjustRightInd/>
        <w:snapToGrid/>
        <w:spacing w:line="578" w:lineRule="exact"/>
        <w:ind w:firstLine="640"/>
        <w:textAlignment w:val="auto"/>
        <w:outlineLvl w:val="9"/>
        <w:rPr>
          <w:rFonts w:hint="eastAsia" w:ascii="楷体_GB2312" w:hAnsi="宋体" w:eastAsia="楷体_GB2312" w:cs="Times New Roman"/>
          <w:b/>
          <w:color w:val="auto"/>
          <w:sz w:val="32"/>
          <w:szCs w:val="32"/>
          <w:highlight w:val="none"/>
          <w:u w:val="none"/>
          <w:lang w:val="en-US" w:eastAsia="zh-CN"/>
        </w:rPr>
      </w:pPr>
      <w:r>
        <w:rPr>
          <w:rFonts w:hint="eastAsia" w:ascii="楷体_GB2312" w:hAnsi="宋体" w:eastAsia="楷体_GB2312" w:cs="Times New Roman"/>
          <w:b/>
          <w:color w:val="auto"/>
          <w:sz w:val="32"/>
          <w:szCs w:val="32"/>
          <w:highlight w:val="none"/>
          <w:u w:val="none"/>
          <w:lang w:val="zh-CN"/>
        </w:rPr>
        <w:t>（一）</w:t>
      </w:r>
      <w:r>
        <w:rPr>
          <w:rFonts w:hint="eastAsia" w:ascii="楷体_GB2312" w:hAnsi="宋体" w:eastAsia="楷体_GB2312" w:cs="Times New Roman"/>
          <w:b/>
          <w:color w:val="auto"/>
          <w:sz w:val="32"/>
          <w:szCs w:val="32"/>
          <w:highlight w:val="none"/>
          <w:u w:val="none"/>
          <w:lang w:val="en-US" w:eastAsia="zh-CN"/>
        </w:rPr>
        <w:t>通用指标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8" w:lineRule="exact"/>
        <w:ind w:firstLine="640"/>
        <w:textAlignment w:val="auto"/>
        <w:outlineLvl w:val="9"/>
        <w:rPr>
          <w:rFonts w:hint="eastAsia" w:ascii="楷体_GB2312" w:hAnsi="楷体_GB2312" w:eastAsia="楷体_GB2312" w:cs="楷体_GB2312"/>
          <w:color w:val="auto"/>
          <w:sz w:val="32"/>
          <w:szCs w:val="32"/>
          <w:lang w:eastAsia="zh-CN"/>
        </w:rPr>
      </w:pPr>
      <w:r>
        <w:rPr>
          <w:rFonts w:hint="eastAsia" w:ascii="楷体_GB2312" w:hAnsi="楷体_GB2312" w:eastAsia="楷体_GB2312" w:cs="楷体_GB2312"/>
          <w:color w:val="auto"/>
          <w:sz w:val="32"/>
          <w:szCs w:val="32"/>
          <w:lang w:val="en-US" w:eastAsia="zh-CN"/>
        </w:rPr>
        <w:t>1.</w:t>
      </w:r>
      <w:r>
        <w:rPr>
          <w:rFonts w:hint="eastAsia" w:ascii="楷体_GB2312" w:hAnsi="楷体_GB2312" w:eastAsia="楷体_GB2312" w:cs="楷体_GB2312"/>
          <w:color w:val="auto"/>
          <w:sz w:val="32"/>
          <w:szCs w:val="32"/>
          <w:lang w:eastAsia="zh-CN"/>
        </w:rPr>
        <w:t>项目决策。</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8" w:lineRule="exact"/>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 xml:space="preserve">    根据省、市工作要求，对全市17个重点产业、全市重点项目清单、企业家恳谈会等渠道反映的企业、项目问题进行实体走访交流，进而为企业提供融资支持。</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8" w:lineRule="exact"/>
        <w:ind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eastAsia="zh-CN"/>
        </w:rPr>
        <w:t>项目管理。</w:t>
      </w:r>
    </w:p>
    <w:p>
      <w:pPr>
        <w:keepNext w:val="0"/>
        <w:keepLines w:val="0"/>
        <w:pageBreakBefore w:val="0"/>
        <w:widowControl w:val="0"/>
        <w:suppressAutoHyphens/>
        <w:kinsoku/>
        <w:wordWrap/>
        <w:overflowPunct/>
        <w:topLinePunct w:val="0"/>
        <w:autoSpaceDE/>
        <w:autoSpaceDN/>
        <w:bidi w:val="0"/>
        <w:adjustRightInd/>
        <w:snapToGrid/>
        <w:spacing w:line="578" w:lineRule="exact"/>
        <w:ind w:firstLine="640" w:firstLineChars="200"/>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该项目由局银保科督促市普惠金融服务中心负责管理。</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8" w:lineRule="exact"/>
        <w:ind w:left="640" w:leftChars="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3.项目实施。</w:t>
      </w:r>
    </w:p>
    <w:p>
      <w:pPr>
        <w:keepNext w:val="0"/>
        <w:keepLines w:val="0"/>
        <w:pageBreakBefore w:val="0"/>
        <w:widowControl w:val="0"/>
        <w:numPr>
          <w:ilvl w:val="0"/>
          <w:numId w:val="0"/>
        </w:numPr>
        <w:suppressAutoHyphens/>
        <w:kinsoku/>
        <w:wordWrap/>
        <w:overflowPunct/>
        <w:topLinePunct w:val="0"/>
        <w:autoSpaceDE/>
        <w:autoSpaceDN/>
        <w:bidi w:val="0"/>
        <w:adjustRightInd/>
        <w:snapToGrid/>
        <w:spacing w:line="578" w:lineRule="exact"/>
        <w:ind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b w:val="0"/>
          <w:bCs w:val="0"/>
          <w:color w:val="auto"/>
          <w:kern w:val="0"/>
          <w:position w:val="0"/>
          <w:sz w:val="32"/>
          <w:szCs w:val="32"/>
          <w:highlight w:val="none"/>
          <w:lang w:val="en-US" w:eastAsia="zh-CN" w:bidi="ar-SA"/>
        </w:rPr>
        <w:t>按照省、市工作安排，依托市普惠金融服务中心梳理企业、项目融资需求，安排融资难融资贵攻坚克难小分队对企业、项目进行走访，协调银行机构为其提供融资支持。</w:t>
      </w:r>
      <w:r>
        <w:rPr>
          <w:rFonts w:hint="eastAsia" w:ascii="楷体_GB2312" w:hAnsi="楷体_GB2312" w:eastAsia="楷体_GB2312" w:cs="楷体_GB2312"/>
          <w:color w:val="auto"/>
          <w:sz w:val="32"/>
          <w:szCs w:val="32"/>
          <w:lang w:val="en-US" w:eastAsia="zh-CN"/>
        </w:rPr>
        <w:br w:type="textWrapping"/>
      </w:r>
      <w:r>
        <w:rPr>
          <w:rFonts w:hint="eastAsia" w:ascii="楷体_GB2312" w:hAnsi="楷体_GB2312" w:eastAsia="楷体_GB2312" w:cs="楷体_GB2312"/>
          <w:color w:val="auto"/>
          <w:sz w:val="32"/>
          <w:szCs w:val="32"/>
          <w:lang w:val="en-US" w:eastAsia="zh-CN"/>
        </w:rPr>
        <w:t xml:space="preserve">    4.项目结果。</w:t>
      </w:r>
    </w:p>
    <w:p>
      <w:pPr>
        <w:keepNext w:val="0"/>
        <w:keepLines w:val="0"/>
        <w:pageBreakBefore w:val="0"/>
        <w:widowControl w:val="0"/>
        <w:suppressAutoHyphens/>
        <w:kinsoku/>
        <w:wordWrap/>
        <w:overflowPunct/>
        <w:topLinePunct w:val="0"/>
        <w:autoSpaceDE/>
        <w:autoSpaceDN/>
        <w:bidi w:val="0"/>
        <w:adjustRightInd/>
        <w:snapToGrid/>
        <w:spacing w:line="576" w:lineRule="exact"/>
        <w:ind w:left="0"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val="zh-CN" w:eastAsia="zh-CN"/>
        </w:rPr>
        <w:t>资金无结余和违规记录，</w:t>
      </w:r>
      <w:r>
        <w:rPr>
          <w:rFonts w:hint="eastAsia" w:ascii="仿宋_GB2312" w:hAnsi="仿宋_GB2312" w:eastAsia="仿宋_GB2312" w:cs="仿宋_GB2312"/>
          <w:sz w:val="32"/>
          <w:szCs w:val="32"/>
          <w:lang w:val="en-US" w:eastAsia="zh-CN"/>
        </w:rPr>
        <w:t>通过实施该项目，我局融资小分度多次赴企业及项目现场进行走访对接，较好的为企业提供金融服务。</w:t>
      </w:r>
    </w:p>
    <w:p>
      <w:pPr>
        <w:keepNext w:val="0"/>
        <w:keepLines w:val="0"/>
        <w:pageBreakBefore w:val="0"/>
        <w:widowControl w:val="0"/>
        <w:suppressAutoHyphens/>
        <w:kinsoku/>
        <w:wordWrap/>
        <w:overflowPunct/>
        <w:topLinePunct w:val="0"/>
        <w:autoSpaceDE/>
        <w:autoSpaceDN/>
        <w:bidi w:val="0"/>
        <w:adjustRightInd/>
        <w:snapToGrid/>
        <w:spacing w:line="578" w:lineRule="exact"/>
        <w:ind w:firstLine="642"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宋体" w:eastAsia="楷体_GB2312" w:cs="Times New Roman"/>
          <w:b/>
          <w:color w:val="auto"/>
          <w:sz w:val="32"/>
          <w:szCs w:val="32"/>
          <w:highlight w:val="none"/>
          <w:u w:val="none"/>
          <w:lang w:val="zh-CN"/>
        </w:rPr>
        <w:t>（二）</w:t>
      </w:r>
      <w:r>
        <w:rPr>
          <w:rFonts w:hint="eastAsia" w:ascii="楷体_GB2312" w:hAnsi="宋体" w:eastAsia="楷体_GB2312" w:cs="Times New Roman"/>
          <w:b/>
          <w:color w:val="auto"/>
          <w:sz w:val="32"/>
          <w:szCs w:val="32"/>
          <w:highlight w:val="none"/>
          <w:u w:val="none"/>
          <w:lang w:val="en-US" w:eastAsia="zh-CN"/>
        </w:rPr>
        <w:t>专用指标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1.产业发展。</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color w:val="000000"/>
          <w:kern w:val="0"/>
          <w:sz w:val="32"/>
          <w:szCs w:val="32"/>
          <w:u w:val="none"/>
          <w:lang w:val="en-US" w:eastAsia="zh-CN"/>
        </w:rPr>
      </w:pPr>
      <w:r>
        <w:rPr>
          <w:rFonts w:hint="eastAsia" w:ascii="仿宋_GB2312" w:hAnsi="仿宋_GB2312" w:eastAsia="仿宋_GB2312" w:cs="仿宋_GB2312"/>
          <w:color w:val="000000"/>
          <w:kern w:val="0"/>
          <w:sz w:val="32"/>
          <w:szCs w:val="32"/>
          <w:u w:val="none"/>
        </w:rPr>
        <w:t>开展金融支持重点产业“大走访、大调研、解难题”活动，举办政银企对接活动30余场次，为铝基新材料、硅基新材料等17个重点产业投放贷款</w:t>
      </w:r>
      <w:r>
        <w:rPr>
          <w:rFonts w:hint="eastAsia" w:ascii="仿宋_GB2312" w:hAnsi="仿宋_GB2312" w:eastAsia="仿宋_GB2312" w:cs="仿宋_GB2312"/>
          <w:color w:val="000000"/>
          <w:kern w:val="0"/>
          <w:sz w:val="32"/>
          <w:szCs w:val="32"/>
          <w:u w:val="none"/>
          <w:lang w:val="en-US" w:eastAsia="zh-CN"/>
        </w:rPr>
        <w:t>191.85</w:t>
      </w:r>
      <w:r>
        <w:rPr>
          <w:rFonts w:hint="eastAsia" w:ascii="仿宋_GB2312" w:hAnsi="仿宋_GB2312" w:eastAsia="仿宋_GB2312" w:cs="仿宋_GB2312"/>
          <w:color w:val="000000"/>
          <w:kern w:val="0"/>
          <w:sz w:val="32"/>
          <w:szCs w:val="32"/>
          <w:u w:val="none"/>
        </w:rPr>
        <w:t>亿元</w:t>
      </w:r>
      <w:r>
        <w:rPr>
          <w:rFonts w:hint="eastAsia" w:ascii="仿宋_GB2312" w:hAnsi="仿宋_GB2312" w:eastAsia="仿宋_GB2312" w:cs="仿宋_GB2312"/>
          <w:color w:val="000000"/>
          <w:kern w:val="0"/>
          <w:sz w:val="32"/>
          <w:szCs w:val="32"/>
          <w:u w:val="none"/>
          <w:lang w:eastAsia="zh-CN"/>
        </w:rPr>
        <w:t>，</w:t>
      </w:r>
      <w:r>
        <w:rPr>
          <w:rFonts w:hint="eastAsia" w:ascii="仿宋_GB2312" w:hAnsi="仿宋_GB2312" w:eastAsia="仿宋_GB2312" w:cs="仿宋_GB2312"/>
          <w:color w:val="000000"/>
          <w:kern w:val="0"/>
          <w:sz w:val="32"/>
          <w:szCs w:val="32"/>
          <w:u w:val="none"/>
          <w:lang w:val="en-US" w:eastAsia="zh-CN"/>
        </w:rPr>
        <w:t xml:space="preserve">有力推动重点拟上市企业上市进程。   </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楷体_GB2312" w:hAnsi="楷体_GB2312" w:eastAsia="楷体_GB2312" w:cs="楷体_GB2312"/>
          <w:color w:val="auto"/>
          <w:sz w:val="32"/>
          <w:szCs w:val="32"/>
          <w:lang w:val="zh-CN" w:eastAsia="zh-CN"/>
        </w:rPr>
      </w:pPr>
      <w:r>
        <w:rPr>
          <w:rFonts w:hint="eastAsia" w:ascii="楷体_GB2312" w:hAnsi="楷体_GB2312" w:eastAsia="楷体_GB2312" w:cs="楷体_GB2312"/>
          <w:color w:val="auto"/>
          <w:sz w:val="32"/>
          <w:szCs w:val="32"/>
          <w:lang w:val="en-US" w:eastAsia="zh-CN"/>
        </w:rPr>
        <w:t>2.</w:t>
      </w:r>
      <w:r>
        <w:rPr>
          <w:rFonts w:hint="eastAsia" w:ascii="楷体_GB2312" w:hAnsi="楷体_GB2312" w:eastAsia="楷体_GB2312" w:cs="楷体_GB2312"/>
          <w:color w:val="auto"/>
          <w:sz w:val="32"/>
          <w:szCs w:val="32"/>
          <w:lang w:val="zh-CN" w:eastAsia="zh-CN"/>
        </w:rPr>
        <w:t>民生保障。</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widowControl/>
        <w:spacing w:line="576" w:lineRule="exact"/>
        <w:ind w:firstLine="640" w:firstLineChars="200"/>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3.基础设施。</w:t>
      </w:r>
    </w:p>
    <w:p>
      <w:pPr>
        <w:widowControl/>
        <w:spacing w:line="576" w:lineRule="exact"/>
        <w:ind w:firstLine="640" w:firstLineChars="200"/>
        <w:rPr>
          <w:rFonts w:hint="eastAsia" w:ascii="楷体_GB2312" w:hAnsi="楷体_GB2312" w:eastAsia="楷体_GB2312" w:cs="楷体_GB2312"/>
          <w:color w:val="auto"/>
          <w:sz w:val="32"/>
          <w:szCs w:val="32"/>
          <w:lang w:val="en-US" w:eastAsia="zh-CN"/>
        </w:rPr>
      </w:pPr>
      <w:r>
        <w:rPr>
          <w:rFonts w:hint="eastAsia" w:ascii="仿宋_GB2312" w:hAnsi="仿宋_GB2312" w:eastAsia="仿宋_GB2312" w:cs="仿宋_GB2312"/>
          <w:color w:val="000000"/>
          <w:kern w:val="0"/>
          <w:sz w:val="32"/>
          <w:szCs w:val="32"/>
          <w:u w:val="none"/>
        </w:rPr>
        <w:t>推动国家储备林、城市有机更新、海绵城市等83个重点项目获得授信199.</w:t>
      </w:r>
      <w:r>
        <w:rPr>
          <w:rFonts w:hint="eastAsia" w:ascii="仿宋_GB2312" w:hAnsi="仿宋_GB2312" w:eastAsia="仿宋_GB2312" w:cs="仿宋_GB2312"/>
          <w:color w:val="000000"/>
          <w:kern w:val="0"/>
          <w:sz w:val="32"/>
          <w:szCs w:val="32"/>
          <w:u w:val="none"/>
          <w:lang w:val="en-US" w:eastAsia="zh-CN"/>
        </w:rPr>
        <w:t>33</w:t>
      </w:r>
      <w:r>
        <w:rPr>
          <w:rFonts w:hint="eastAsia" w:ascii="仿宋_GB2312" w:hAnsi="仿宋_GB2312" w:eastAsia="仿宋_GB2312" w:cs="仿宋_GB2312"/>
          <w:color w:val="000000"/>
          <w:kern w:val="0"/>
          <w:sz w:val="32"/>
          <w:szCs w:val="32"/>
          <w:u w:val="none"/>
        </w:rPr>
        <w:t>亿元，已投放85.53亿元。</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eastAsia" w:ascii="仿宋_GB2312" w:hAnsi="仿宋_GB2312" w:eastAsia="仿宋_GB2312" w:cs="仿宋_GB2312"/>
          <w:b w:val="0"/>
          <w:bCs w:val="0"/>
          <w:color w:val="auto"/>
          <w:kern w:val="0"/>
          <w:position w:val="0"/>
          <w:sz w:val="32"/>
          <w:szCs w:val="32"/>
          <w:highlight w:val="none"/>
          <w:lang w:val="zh-CN" w:eastAsia="zh-CN" w:bidi="ar-SA"/>
        </w:rPr>
      </w:pPr>
      <w:r>
        <w:rPr>
          <w:rFonts w:hint="eastAsia" w:ascii="楷体_GB2312" w:hAnsi="楷体_GB2312" w:eastAsia="楷体_GB2312" w:cs="楷体_GB2312"/>
          <w:color w:val="auto"/>
          <w:sz w:val="32"/>
          <w:szCs w:val="32"/>
          <w:lang w:val="en-US" w:eastAsia="zh-CN"/>
        </w:rPr>
        <w:t>4.</w:t>
      </w:r>
      <w:r>
        <w:rPr>
          <w:rFonts w:hint="eastAsia" w:ascii="楷体_GB2312" w:hAnsi="楷体_GB2312" w:eastAsia="楷体_GB2312" w:cs="楷体_GB2312"/>
          <w:color w:val="auto"/>
          <w:sz w:val="32"/>
          <w:szCs w:val="32"/>
          <w:lang w:val="zh-CN" w:eastAsia="zh-CN"/>
        </w:rPr>
        <w:t>行政运转</w:t>
      </w:r>
      <w:r>
        <w:rPr>
          <w:rFonts w:hint="eastAsia" w:ascii="仿宋_GB2312" w:hAnsi="仿宋_GB2312" w:eastAsia="仿宋_GB2312" w:cs="仿宋_GB2312"/>
          <w:b w:val="0"/>
          <w:bCs w:val="0"/>
          <w:color w:val="auto"/>
          <w:kern w:val="0"/>
          <w:position w:val="0"/>
          <w:sz w:val="32"/>
          <w:szCs w:val="32"/>
          <w:highlight w:val="none"/>
          <w:lang w:val="zh-CN" w:eastAsia="zh-CN" w:bidi="ar-SA"/>
        </w:rPr>
        <w:t>。</w:t>
      </w:r>
    </w:p>
    <w:p>
      <w:pPr>
        <w:keepNext w:val="0"/>
        <w:keepLines w:val="0"/>
        <w:pageBreakBefore w:val="0"/>
        <w:widowControl w:val="0"/>
        <w:suppressAutoHyphens/>
        <w:kinsoku/>
        <w:wordWrap/>
        <w:overflowPunct/>
        <w:topLinePunct w:val="0"/>
        <w:autoSpaceDE/>
        <w:autoSpaceDN/>
        <w:bidi w:val="0"/>
        <w:adjustRightInd/>
        <w:snapToGrid/>
        <w:spacing w:line="578" w:lineRule="exact"/>
        <w:ind w:left="0" w:leftChars="0" w:firstLine="640" w:firstLineChars="200"/>
        <w:textAlignment w:val="auto"/>
        <w:outlineLvl w:val="9"/>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keepNext w:val="0"/>
        <w:keepLines w:val="0"/>
        <w:pageBreakBefore w:val="0"/>
        <w:widowControl w:val="0"/>
        <w:suppressAutoHyphens/>
        <w:kinsoku/>
        <w:wordWrap/>
        <w:overflowPunct/>
        <w:topLinePunct w:val="0"/>
        <w:autoSpaceDE/>
        <w:autoSpaceDN/>
        <w:bidi w:val="0"/>
        <w:adjustRightInd/>
        <w:snapToGrid/>
        <w:spacing w:line="578" w:lineRule="exact"/>
        <w:ind w:firstLine="640"/>
        <w:textAlignment w:val="auto"/>
        <w:outlineLvl w:val="9"/>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楷体_GB2312" w:hAnsi="宋体" w:eastAsia="楷体_GB2312" w:cs="Times New Roman"/>
          <w:b/>
          <w:color w:val="auto"/>
          <w:sz w:val="32"/>
          <w:szCs w:val="32"/>
          <w:highlight w:val="none"/>
          <w:u w:val="none"/>
          <w:lang w:val="zh-CN"/>
        </w:rPr>
        <w:t>（三）</w:t>
      </w:r>
      <w:r>
        <w:rPr>
          <w:rFonts w:hint="eastAsia" w:ascii="楷体_GB2312" w:hAnsi="宋体" w:eastAsia="楷体_GB2312" w:cs="Times New Roman"/>
          <w:b/>
          <w:color w:val="auto"/>
          <w:sz w:val="32"/>
          <w:szCs w:val="32"/>
          <w:highlight w:val="none"/>
          <w:u w:val="none"/>
          <w:lang w:val="en-US" w:eastAsia="zh-CN"/>
        </w:rPr>
        <w:t>个性指标</w:t>
      </w:r>
      <w:r>
        <w:rPr>
          <w:rFonts w:hint="default" w:ascii="Times New Roman" w:hAnsi="Times New Roman" w:eastAsia="楷体_GB2312" w:cs="Times New Roman"/>
          <w:b/>
          <w:bCs/>
          <w:color w:val="000000"/>
          <w:kern w:val="0"/>
          <w:sz w:val="32"/>
          <w:szCs w:val="32"/>
          <w:highlight w:val="none"/>
          <w:shd w:val="clear" w:color="auto" w:fill="FFFFFF"/>
          <w:lang w:val="zh-CN"/>
        </w:rPr>
        <w:t>绩效分析。</w:t>
      </w:r>
    </w:p>
    <w:p>
      <w:pPr>
        <w:pageBreakBefore w:val="0"/>
        <w:widowControl w:val="0"/>
        <w:numPr>
          <w:ilvl w:val="0"/>
          <w:numId w:val="0"/>
        </w:numPr>
        <w:tabs>
          <w:tab w:val="left" w:pos="2160"/>
        </w:tabs>
        <w:suppressAutoHyphens/>
        <w:kinsoku/>
        <w:wordWrap/>
        <w:overflowPunct/>
        <w:topLinePunct w:val="0"/>
        <w:autoSpaceDE/>
        <w:autoSpaceDN/>
        <w:bidi w:val="0"/>
        <w:adjustRightInd/>
        <w:spacing w:before="0" w:after="140" w:line="600" w:lineRule="exact"/>
        <w:ind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四、评价结论</w:t>
      </w:r>
    </w:p>
    <w:p>
      <w:pPr>
        <w:keepNext w:val="0"/>
        <w:keepLines w:val="0"/>
        <w:pageBreakBefore w:val="0"/>
        <w:widowControl w:val="0"/>
        <w:numPr>
          <w:ilvl w:val="0"/>
          <w:numId w:val="0"/>
        </w:numPr>
        <w:tabs>
          <w:tab w:val="left" w:pos="2160"/>
        </w:tabs>
        <w:suppressAutoHyphens/>
        <w:kinsoku/>
        <w:wordWrap/>
        <w:overflowPunct/>
        <w:topLinePunct w:val="0"/>
        <w:autoSpaceDE/>
        <w:autoSpaceDN/>
        <w:bidi w:val="0"/>
        <w:adjustRightInd/>
        <w:spacing w:before="0" w:line="576" w:lineRule="exact"/>
        <w:ind w:left="0" w:firstLine="640" w:firstLineChars="200"/>
        <w:jc w:val="both"/>
        <w:textAlignment w:val="auto"/>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Times New Roman" w:hAnsi="Times New Roman" w:eastAsia="仿宋_GB2312" w:cs="Times New Roman"/>
          <w:bCs/>
          <w:sz w:val="32"/>
          <w:szCs w:val="32"/>
          <w:highlight w:val="none"/>
          <w:u w:val="none"/>
          <w:lang w:val="en-US" w:eastAsia="zh-CN"/>
        </w:rPr>
        <w:t>项目融资</w:t>
      </w:r>
      <w:r>
        <w:rPr>
          <w:rFonts w:hint="eastAsia" w:ascii="仿宋_GB2312" w:hAnsi="仿宋_GB2312" w:eastAsia="仿宋_GB2312" w:cs="仿宋_GB2312"/>
          <w:b w:val="0"/>
          <w:bCs w:val="0"/>
          <w:color w:val="auto"/>
          <w:kern w:val="0"/>
          <w:position w:val="0"/>
          <w:sz w:val="32"/>
          <w:szCs w:val="32"/>
          <w:highlight w:val="none"/>
          <w:lang w:val="en-US" w:eastAsia="zh-CN" w:bidi="ar-SA"/>
        </w:rPr>
        <w:t>自评总分100分。</w:t>
      </w:r>
    </w:p>
    <w:p>
      <w:pPr>
        <w:pageBreakBefore w:val="0"/>
        <w:widowControl w:val="0"/>
        <w:numPr>
          <w:ilvl w:val="0"/>
          <w:numId w:val="0"/>
        </w:numPr>
        <w:tabs>
          <w:tab w:val="left" w:pos="2160"/>
        </w:tabs>
        <w:suppressAutoHyphens/>
        <w:kinsoku/>
        <w:wordWrap/>
        <w:overflowPunct/>
        <w:topLinePunct w:val="0"/>
        <w:autoSpaceDE/>
        <w:autoSpaceDN/>
        <w:bidi w:val="0"/>
        <w:adjustRightInd/>
        <w:spacing w:before="0" w:after="140" w:line="600" w:lineRule="exact"/>
        <w:ind w:firstLine="640" w:firstLineChars="200"/>
        <w:jc w:val="both"/>
        <w:textAlignment w:val="auto"/>
        <w:rPr>
          <w:rFonts w:hint="eastAsia" w:ascii="黑体" w:hAnsi="宋体" w:eastAsia="黑体" w:cs="Times New Roman"/>
          <w:color w:val="auto"/>
          <w:kern w:val="2"/>
          <w:sz w:val="32"/>
          <w:szCs w:val="32"/>
          <w:highlight w:val="none"/>
          <w:u w:val="none"/>
          <w:lang w:val="en-US" w:eastAsia="zh-CN" w:bidi="ar-SA"/>
        </w:rPr>
      </w:pPr>
      <w:r>
        <w:rPr>
          <w:rFonts w:hint="eastAsia" w:ascii="黑体" w:hAnsi="宋体" w:eastAsia="黑体" w:cs="Times New Roman"/>
          <w:color w:val="auto"/>
          <w:kern w:val="2"/>
          <w:sz w:val="32"/>
          <w:szCs w:val="32"/>
          <w:highlight w:val="none"/>
          <w:u w:val="none"/>
          <w:lang w:val="en-US" w:eastAsia="zh-CN" w:bidi="ar-SA"/>
        </w:rPr>
        <w:t>五、存在主要问题</w:t>
      </w:r>
    </w:p>
    <w:p>
      <w:pPr>
        <w:tabs>
          <w:tab w:val="left" w:pos="1911"/>
        </w:tabs>
        <w:suppressAutoHyphens/>
        <w:bidi w:val="0"/>
        <w:ind w:firstLine="640" w:firstLineChars="200"/>
        <w:jc w:val="left"/>
        <w:rPr>
          <w:rFonts w:hint="default"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ageBreakBefore w:val="0"/>
        <w:widowControl w:val="0"/>
        <w:numPr>
          <w:ilvl w:val="0"/>
          <w:numId w:val="0"/>
        </w:numPr>
        <w:tabs>
          <w:tab w:val="left" w:pos="2160"/>
        </w:tabs>
        <w:suppressAutoHyphens/>
        <w:kinsoku/>
        <w:wordWrap/>
        <w:overflowPunct/>
        <w:topLinePunct w:val="0"/>
        <w:autoSpaceDE/>
        <w:autoSpaceDN/>
        <w:bidi w:val="0"/>
        <w:adjustRightInd/>
        <w:spacing w:before="0" w:after="140" w:line="600" w:lineRule="exact"/>
        <w:ind w:firstLine="640" w:firstLineChars="200"/>
        <w:jc w:val="both"/>
        <w:textAlignment w:val="auto"/>
        <w:rPr>
          <w:rFonts w:hint="eastAsia" w:ascii="黑体" w:hAnsi="宋体" w:eastAsia="黑体" w:cs="Times New Roman"/>
          <w:color w:val="auto"/>
          <w:kern w:val="0"/>
          <w:position w:val="3"/>
          <w:sz w:val="32"/>
          <w:szCs w:val="32"/>
          <w:highlight w:val="none"/>
          <w:u w:val="none"/>
          <w:lang w:val="zh-CN" w:eastAsia="zh-CN" w:bidi="ar-SA"/>
        </w:rPr>
      </w:pPr>
      <w:r>
        <w:rPr>
          <w:rFonts w:hint="eastAsia" w:ascii="黑体" w:hAnsi="宋体" w:eastAsia="黑体" w:cs="Times New Roman"/>
          <w:color w:val="auto"/>
          <w:kern w:val="0"/>
          <w:position w:val="3"/>
          <w:sz w:val="32"/>
          <w:szCs w:val="32"/>
          <w:highlight w:val="none"/>
          <w:u w:val="none"/>
          <w:lang w:val="zh-CN" w:eastAsia="zh-CN" w:bidi="ar-SA"/>
        </w:rPr>
        <w:t>六、改进建议</w:t>
      </w:r>
    </w:p>
    <w:p>
      <w:pPr>
        <w:tabs>
          <w:tab w:val="left" w:pos="1911"/>
        </w:tabs>
        <w:suppressAutoHyphens/>
        <w:bidi w:val="0"/>
        <w:ind w:firstLine="640"/>
        <w:jc w:val="left"/>
        <w:rPr>
          <w:rFonts w:hint="eastAsia" w:ascii="仿宋_GB2312" w:hAnsi="仿宋_GB2312" w:eastAsia="仿宋_GB2312" w:cs="仿宋_GB2312"/>
          <w:b w:val="0"/>
          <w:bCs w:val="0"/>
          <w:color w:val="auto"/>
          <w:kern w:val="0"/>
          <w:position w:val="0"/>
          <w:sz w:val="32"/>
          <w:szCs w:val="32"/>
          <w:highlight w:val="none"/>
          <w:lang w:val="en-US" w:eastAsia="zh-CN" w:bidi="ar-SA"/>
        </w:rPr>
      </w:pPr>
      <w:r>
        <w:rPr>
          <w:rFonts w:hint="eastAsia" w:ascii="仿宋_GB2312" w:hAnsi="仿宋_GB2312" w:eastAsia="仿宋_GB2312" w:cs="仿宋_GB2312"/>
          <w:b w:val="0"/>
          <w:bCs w:val="0"/>
          <w:color w:val="auto"/>
          <w:kern w:val="0"/>
          <w:position w:val="0"/>
          <w:sz w:val="32"/>
          <w:szCs w:val="32"/>
          <w:highlight w:val="none"/>
          <w:lang w:val="en-US" w:eastAsia="zh-CN" w:bidi="ar-SA"/>
        </w:rPr>
        <w:t>无。</w:t>
      </w:r>
    </w:p>
    <w:p>
      <w:pPr>
        <w:pStyle w:val="2"/>
        <w:ind w:firstLine="640"/>
        <w:rPr>
          <w:rFonts w:hint="eastAsia"/>
        </w:rPr>
      </w:pPr>
    </w:p>
    <w:p>
      <w:pPr>
        <w:pStyle w:val="2"/>
        <w:ind w:firstLine="640"/>
        <w:rPr>
          <w:rFonts w:hint="eastAsia"/>
        </w:rPr>
      </w:pPr>
    </w:p>
    <w:p>
      <w:pPr>
        <w:pStyle w:val="2"/>
        <w:ind w:firstLine="640"/>
        <w:rPr>
          <w:rFonts w:hint="eastAsia"/>
        </w:rPr>
      </w:pPr>
    </w:p>
    <w:p>
      <w:pPr>
        <w:pStyle w:val="2"/>
        <w:rPr>
          <w:rFonts w:hint="eastAsia" w:ascii="黑体" w:hAnsi="黑体" w:eastAsia="黑体"/>
          <w:color w:val="auto"/>
          <w:sz w:val="44"/>
          <w:szCs w:val="44"/>
          <w:highlight w:val="none"/>
        </w:rPr>
      </w:pPr>
    </w:p>
    <w:p>
      <w:pPr>
        <w:widowControl/>
        <w:jc w:val="center"/>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20"/>
          <w:rFonts w:hint="eastAsia" w:ascii="黑体" w:hAnsi="黑体" w:eastAsia="黑体"/>
          <w:b w:val="0"/>
          <w:color w:val="auto"/>
          <w:highlight w:val="none"/>
        </w:rPr>
        <w:t>五部分 附表</w:t>
      </w:r>
      <w:bookmarkStart w:id="50" w:name="_Toc15396619"/>
    </w:p>
    <w:p>
      <w:pPr>
        <w:pStyle w:val="4"/>
        <w:rPr>
          <w:rFonts w:hint="eastAsia" w:ascii="仿宋_GB2312" w:hAnsi="仿宋_GB2312" w:eastAsia="仿宋_GB2312" w:cs="仿宋_GB2312"/>
          <w:color w:val="auto"/>
          <w:highlight w:val="none"/>
        </w:rPr>
      </w:pPr>
      <w:bookmarkStart w:id="51" w:name="_Toc146272537"/>
      <w:r>
        <w:rPr>
          <w:rFonts w:hint="eastAsia" w:ascii="仿宋_GB2312" w:hAnsi="仿宋_GB2312" w:eastAsia="仿宋_GB2312" w:cs="仿宋_GB2312"/>
          <w:b w:val="0"/>
          <w:color w:val="auto"/>
          <w:highlight w:val="none"/>
        </w:rPr>
        <w:t>一、收</w:t>
      </w:r>
      <w:r>
        <w:rPr>
          <w:rStyle w:val="21"/>
          <w:rFonts w:hint="eastAsia" w:ascii="仿宋_GB2312" w:hAnsi="仿宋_GB2312" w:eastAsia="仿宋_GB2312" w:cs="仿宋_GB2312"/>
          <w:b w:val="0"/>
          <w:bCs w:val="0"/>
          <w:color w:val="auto"/>
          <w:highlight w:val="none"/>
        </w:rPr>
        <w:t>入支出决算总表</w:t>
      </w:r>
      <w:bookmarkEnd w:id="50"/>
      <w:bookmarkEnd w:id="51"/>
    </w:p>
    <w:p>
      <w:pPr>
        <w:pStyle w:val="4"/>
        <w:rPr>
          <w:rFonts w:hint="eastAsia" w:ascii="仿宋_GB2312" w:hAnsi="仿宋_GB2312" w:eastAsia="仿宋_GB2312" w:cs="仿宋_GB2312"/>
          <w:color w:val="auto"/>
          <w:highlight w:val="none"/>
        </w:rPr>
      </w:pPr>
      <w:bookmarkStart w:id="52" w:name="_Toc15396620"/>
      <w:bookmarkStart w:id="53" w:name="_Toc1590471016"/>
      <w:r>
        <w:rPr>
          <w:rFonts w:hint="eastAsia" w:ascii="仿宋_GB2312" w:hAnsi="仿宋_GB2312" w:eastAsia="仿宋_GB2312" w:cs="仿宋_GB2312"/>
          <w:b w:val="0"/>
          <w:color w:val="auto"/>
          <w:highlight w:val="none"/>
        </w:rPr>
        <w:t>二、收</w:t>
      </w:r>
      <w:r>
        <w:rPr>
          <w:rStyle w:val="21"/>
          <w:rFonts w:hint="eastAsia" w:ascii="仿宋_GB2312" w:hAnsi="仿宋_GB2312" w:eastAsia="仿宋_GB2312" w:cs="仿宋_GB2312"/>
          <w:b w:val="0"/>
          <w:bCs w:val="0"/>
          <w:color w:val="auto"/>
          <w:highlight w:val="none"/>
        </w:rPr>
        <w:t>入决算表</w:t>
      </w:r>
      <w:bookmarkEnd w:id="52"/>
      <w:bookmarkEnd w:id="53"/>
    </w:p>
    <w:p>
      <w:pPr>
        <w:pStyle w:val="4"/>
        <w:rPr>
          <w:rFonts w:hint="eastAsia" w:ascii="仿宋_GB2312" w:hAnsi="仿宋_GB2312" w:eastAsia="仿宋_GB2312" w:cs="仿宋_GB2312"/>
          <w:color w:val="auto"/>
          <w:highlight w:val="none"/>
        </w:rPr>
      </w:pPr>
      <w:bookmarkStart w:id="54" w:name="_Toc15396621"/>
      <w:bookmarkStart w:id="55" w:name="_Toc149090370"/>
      <w:r>
        <w:rPr>
          <w:rStyle w:val="21"/>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1"/>
          <w:rFonts w:hint="eastAsia" w:ascii="仿宋_GB2312" w:hAnsi="仿宋_GB2312" w:eastAsia="仿宋_GB2312" w:cs="仿宋_GB2312"/>
          <w:b w:val="0"/>
          <w:bCs w:val="0"/>
          <w:color w:val="auto"/>
          <w:highlight w:val="none"/>
        </w:rPr>
        <w:t>出决算表</w:t>
      </w:r>
      <w:bookmarkEnd w:id="54"/>
      <w:bookmarkEnd w:id="55"/>
    </w:p>
    <w:p>
      <w:pPr>
        <w:pStyle w:val="4"/>
        <w:rPr>
          <w:rFonts w:hint="eastAsia" w:ascii="仿宋_GB2312" w:hAnsi="仿宋_GB2312" w:eastAsia="仿宋_GB2312" w:cs="仿宋_GB2312"/>
          <w:b w:val="0"/>
          <w:color w:val="auto"/>
          <w:highlight w:val="none"/>
        </w:rPr>
      </w:pPr>
      <w:bookmarkStart w:id="56" w:name="_Toc15396622"/>
      <w:bookmarkStart w:id="57" w:name="_Toc268642913"/>
      <w:r>
        <w:rPr>
          <w:rStyle w:val="21"/>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政拨款收入支出决算总表</w:t>
      </w:r>
      <w:bookmarkEnd w:id="56"/>
      <w:bookmarkEnd w:id="57"/>
    </w:p>
    <w:p>
      <w:pPr>
        <w:pStyle w:val="4"/>
        <w:rPr>
          <w:rStyle w:val="21"/>
          <w:rFonts w:hint="eastAsia" w:ascii="仿宋_GB2312" w:hAnsi="仿宋_GB2312" w:eastAsia="仿宋_GB2312" w:cs="仿宋_GB2312"/>
          <w:b w:val="0"/>
          <w:bCs w:val="0"/>
          <w:color w:val="auto"/>
          <w:highlight w:val="none"/>
        </w:rPr>
      </w:pPr>
      <w:bookmarkStart w:id="58" w:name="_Toc15396623"/>
      <w:bookmarkStart w:id="59" w:name="_Toc1506360359"/>
      <w:r>
        <w:rPr>
          <w:rStyle w:val="21"/>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1"/>
          <w:rFonts w:hint="eastAsia" w:ascii="仿宋_GB2312" w:hAnsi="仿宋_GB2312" w:eastAsia="仿宋_GB2312" w:cs="仿宋_GB2312"/>
          <w:b w:val="0"/>
          <w:bCs w:val="0"/>
          <w:color w:val="auto"/>
          <w:highlight w:val="none"/>
        </w:rPr>
        <w:t>政拨款支出决算明细表</w:t>
      </w:r>
      <w:bookmarkEnd w:id="58"/>
      <w:bookmarkEnd w:id="59"/>
      <w:bookmarkStart w:id="60" w:name="_Toc15396624"/>
    </w:p>
    <w:p>
      <w:pPr>
        <w:pStyle w:val="4"/>
        <w:rPr>
          <w:rFonts w:hint="eastAsia" w:ascii="仿宋_GB2312" w:hAnsi="仿宋_GB2312" w:eastAsia="仿宋_GB2312" w:cs="仿宋_GB2312"/>
          <w:color w:val="auto"/>
          <w:highlight w:val="none"/>
        </w:rPr>
      </w:pPr>
      <w:bookmarkStart w:id="61" w:name="_Toc1190470619"/>
      <w:r>
        <w:rPr>
          <w:rStyle w:val="21"/>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般公共预算财政拨款支出决算表</w:t>
      </w:r>
      <w:bookmarkEnd w:id="60"/>
      <w:bookmarkEnd w:id="61"/>
    </w:p>
    <w:p>
      <w:pPr>
        <w:pStyle w:val="4"/>
        <w:rPr>
          <w:rFonts w:hint="eastAsia" w:ascii="仿宋_GB2312" w:hAnsi="仿宋_GB2312" w:eastAsia="仿宋_GB2312" w:cs="仿宋_GB2312"/>
          <w:color w:val="auto"/>
          <w:highlight w:val="none"/>
        </w:rPr>
      </w:pPr>
      <w:bookmarkStart w:id="62" w:name="_Toc2107582711"/>
      <w:bookmarkStart w:id="63" w:name="_Toc15396625"/>
      <w:r>
        <w:rPr>
          <w:rStyle w:val="21"/>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般公共预算财政拨款支出决算明细表</w:t>
      </w:r>
      <w:bookmarkEnd w:id="62"/>
      <w:bookmarkEnd w:id="63"/>
    </w:p>
    <w:p>
      <w:pPr>
        <w:pStyle w:val="4"/>
        <w:rPr>
          <w:rFonts w:hint="eastAsia" w:ascii="仿宋_GB2312" w:hAnsi="仿宋_GB2312" w:eastAsia="仿宋_GB2312" w:cs="仿宋_GB2312"/>
          <w:color w:val="auto"/>
          <w:highlight w:val="none"/>
        </w:rPr>
      </w:pPr>
      <w:bookmarkStart w:id="64" w:name="_Toc2066462068"/>
      <w:bookmarkStart w:id="65" w:name="_Toc15396626"/>
      <w:r>
        <w:rPr>
          <w:rStyle w:val="21"/>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般公共预算财政拨款基本支出决算表</w:t>
      </w:r>
      <w:bookmarkEnd w:id="64"/>
      <w:bookmarkEnd w:id="65"/>
    </w:p>
    <w:p>
      <w:pPr>
        <w:pStyle w:val="4"/>
        <w:rPr>
          <w:rFonts w:hint="eastAsia" w:ascii="仿宋_GB2312" w:hAnsi="仿宋_GB2312" w:eastAsia="仿宋_GB2312" w:cs="仿宋_GB2312"/>
          <w:color w:val="auto"/>
          <w:highlight w:val="none"/>
        </w:rPr>
      </w:pPr>
      <w:bookmarkStart w:id="66" w:name="_Toc978984965"/>
      <w:bookmarkStart w:id="67" w:name="_Toc15396627"/>
      <w:r>
        <w:rPr>
          <w:rStyle w:val="21"/>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1"/>
          <w:rFonts w:hint="eastAsia" w:ascii="仿宋_GB2312" w:hAnsi="仿宋_GB2312" w:eastAsia="仿宋_GB2312" w:cs="仿宋_GB2312"/>
          <w:b w:val="0"/>
          <w:bCs w:val="0"/>
          <w:color w:val="auto"/>
          <w:highlight w:val="none"/>
        </w:rPr>
        <w:t>般公共预算财政拨款项目支出决算表</w:t>
      </w:r>
      <w:bookmarkEnd w:id="66"/>
      <w:bookmarkEnd w:id="67"/>
    </w:p>
    <w:p>
      <w:pPr>
        <w:pStyle w:val="4"/>
        <w:rPr>
          <w:rFonts w:hint="eastAsia" w:ascii="仿宋_GB2312" w:hAnsi="仿宋_GB2312" w:eastAsia="仿宋_GB2312" w:cs="仿宋_GB2312"/>
          <w:color w:val="auto"/>
          <w:highlight w:val="none"/>
        </w:rPr>
      </w:pPr>
      <w:bookmarkStart w:id="68" w:name="_Toc15396628"/>
      <w:bookmarkStart w:id="69" w:name="_Toc1810063473"/>
      <w:r>
        <w:rPr>
          <w:rStyle w:val="21"/>
          <w:rFonts w:hint="eastAsia" w:ascii="仿宋_GB2312" w:hAnsi="仿宋_GB2312" w:eastAsia="仿宋_GB2312" w:cs="仿宋_GB2312"/>
          <w:b w:val="0"/>
          <w:bCs w:val="0"/>
          <w:color w:val="auto"/>
          <w:highlight w:val="none"/>
        </w:rPr>
        <w:t>十、</w:t>
      </w:r>
      <w:bookmarkEnd w:id="68"/>
      <w:r>
        <w:rPr>
          <w:rFonts w:hint="eastAsia" w:ascii="仿宋_GB2312" w:hAnsi="仿宋_GB2312" w:eastAsia="仿宋_GB2312" w:cs="仿宋_GB2312"/>
          <w:b w:val="0"/>
          <w:color w:val="auto"/>
          <w:highlight w:val="none"/>
        </w:rPr>
        <w:t>政</w:t>
      </w:r>
      <w:r>
        <w:rPr>
          <w:rStyle w:val="21"/>
          <w:rFonts w:hint="eastAsia" w:ascii="仿宋_GB2312" w:hAnsi="仿宋_GB2312" w:eastAsia="仿宋_GB2312" w:cs="仿宋_GB2312"/>
          <w:b w:val="0"/>
          <w:bCs w:val="0"/>
          <w:color w:val="auto"/>
          <w:highlight w:val="none"/>
        </w:rPr>
        <w:t>府性基金预算财政拨款收入支出决算表</w:t>
      </w:r>
      <w:bookmarkEnd w:id="69"/>
    </w:p>
    <w:p>
      <w:pPr>
        <w:pStyle w:val="4"/>
        <w:rPr>
          <w:rFonts w:hint="eastAsia" w:ascii="仿宋_GB2312" w:hAnsi="仿宋_GB2312" w:eastAsia="仿宋_GB2312" w:cs="仿宋_GB2312"/>
          <w:color w:val="auto"/>
          <w:highlight w:val="none"/>
        </w:rPr>
      </w:pPr>
      <w:bookmarkStart w:id="70" w:name="_Toc15396629"/>
      <w:bookmarkStart w:id="71" w:name="_Toc307111675"/>
      <w:r>
        <w:rPr>
          <w:rStyle w:val="21"/>
          <w:rFonts w:hint="eastAsia" w:ascii="仿宋_GB2312" w:hAnsi="仿宋_GB2312" w:eastAsia="仿宋_GB2312" w:cs="仿宋_GB2312"/>
          <w:b w:val="0"/>
          <w:bCs w:val="0"/>
          <w:color w:val="auto"/>
          <w:highlight w:val="none"/>
        </w:rPr>
        <w:t>十一、</w:t>
      </w:r>
      <w:bookmarkEnd w:id="70"/>
      <w:r>
        <w:rPr>
          <w:rFonts w:hint="eastAsia" w:ascii="仿宋_GB2312" w:hAnsi="仿宋_GB2312" w:eastAsia="仿宋_GB2312" w:cs="仿宋_GB2312"/>
          <w:b w:val="0"/>
          <w:color w:val="auto"/>
          <w:highlight w:val="none"/>
        </w:rPr>
        <w:t>国</w:t>
      </w:r>
      <w:r>
        <w:rPr>
          <w:rStyle w:val="21"/>
          <w:rFonts w:hint="eastAsia" w:ascii="仿宋_GB2312" w:hAnsi="仿宋_GB2312" w:eastAsia="仿宋_GB2312" w:cs="仿宋_GB2312"/>
          <w:b w:val="0"/>
          <w:bCs w:val="0"/>
          <w:color w:val="auto"/>
          <w:highlight w:val="none"/>
        </w:rPr>
        <w:t>有资本经营预算</w:t>
      </w:r>
      <w:r>
        <w:rPr>
          <w:rStyle w:val="21"/>
          <w:rFonts w:hint="eastAsia" w:ascii="仿宋_GB2312" w:hAnsi="仿宋_GB2312" w:eastAsia="仿宋_GB2312" w:cs="仿宋_GB2312"/>
          <w:b w:val="0"/>
          <w:bCs w:val="0"/>
          <w:color w:val="auto"/>
          <w:highlight w:val="none"/>
          <w:lang w:eastAsia="zh-CN"/>
        </w:rPr>
        <w:t>财政拨款收入</w:t>
      </w:r>
      <w:r>
        <w:rPr>
          <w:rStyle w:val="21"/>
          <w:rFonts w:hint="eastAsia" w:ascii="仿宋_GB2312" w:hAnsi="仿宋_GB2312" w:eastAsia="仿宋_GB2312" w:cs="仿宋_GB2312"/>
          <w:b w:val="0"/>
          <w:bCs w:val="0"/>
          <w:color w:val="auto"/>
          <w:highlight w:val="none"/>
        </w:rPr>
        <w:t>支出决算表</w:t>
      </w:r>
      <w:bookmarkEnd w:id="71"/>
    </w:p>
    <w:p>
      <w:pPr>
        <w:pStyle w:val="4"/>
        <w:rPr>
          <w:rFonts w:hint="eastAsia" w:ascii="仿宋_GB2312" w:hAnsi="仿宋_GB2312" w:eastAsia="仿宋_GB2312" w:cs="仿宋_GB2312"/>
          <w:color w:val="auto"/>
          <w:highlight w:val="none"/>
        </w:rPr>
      </w:pPr>
      <w:bookmarkStart w:id="72" w:name="_Toc15396630"/>
      <w:bookmarkStart w:id="73" w:name="_Toc1751225771"/>
      <w:r>
        <w:rPr>
          <w:rStyle w:val="21"/>
          <w:rFonts w:hint="eastAsia" w:ascii="仿宋_GB2312" w:hAnsi="仿宋_GB2312" w:eastAsia="仿宋_GB2312" w:cs="仿宋_GB2312"/>
          <w:b w:val="0"/>
          <w:bCs w:val="0"/>
          <w:color w:val="auto"/>
          <w:highlight w:val="none"/>
        </w:rPr>
        <w:t>十二、</w:t>
      </w:r>
      <w:bookmarkEnd w:id="72"/>
      <w:r>
        <w:rPr>
          <w:rStyle w:val="21"/>
          <w:rFonts w:hint="eastAsia" w:ascii="仿宋_GB2312" w:hAnsi="仿宋_GB2312" w:eastAsia="仿宋_GB2312" w:cs="仿宋_GB2312"/>
          <w:b w:val="0"/>
          <w:bCs w:val="0"/>
          <w:color w:val="auto"/>
          <w:highlight w:val="none"/>
          <w:lang w:eastAsia="zh-CN"/>
        </w:rPr>
        <w:t>国有资本经营预算财政拨款支出决算表</w:t>
      </w:r>
      <w:bookmarkEnd w:id="73"/>
    </w:p>
    <w:p>
      <w:bookmarkStart w:id="74" w:name="_Toc15396631"/>
      <w:bookmarkStart w:id="75" w:name="_Toc1785915781"/>
      <w:r>
        <w:rPr>
          <w:rStyle w:val="21"/>
          <w:rFonts w:hint="eastAsia" w:ascii="仿宋_GB2312" w:hAnsi="仿宋_GB2312" w:eastAsia="仿宋_GB2312" w:cs="仿宋_GB2312"/>
          <w:b w:val="0"/>
          <w:bCs w:val="0"/>
          <w:color w:val="auto"/>
          <w:highlight w:val="none"/>
        </w:rPr>
        <w:t>十三、</w:t>
      </w:r>
      <w:bookmarkEnd w:id="74"/>
      <w:r>
        <w:rPr>
          <w:rStyle w:val="21"/>
          <w:rFonts w:hint="eastAsia" w:ascii="仿宋_GB2312" w:hAnsi="仿宋_GB2312" w:eastAsia="仿宋_GB2312" w:cs="仿宋_GB2312"/>
          <w:b w:val="0"/>
          <w:bCs w:val="0"/>
          <w:color w:val="auto"/>
          <w:highlight w:val="none"/>
          <w:lang w:eastAsia="zh-CN"/>
        </w:rPr>
        <w:t>财政拨款“三公”经费支出决算表</w:t>
      </w:r>
      <w:bookmarkEnd w:id="75"/>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
    <w:altName w:val="Mangal"/>
    <w:panose1 w:val="00000000000000000000"/>
    <w:charset w:val="00"/>
    <w:family w:val="roman"/>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隶书_GBK">
    <w:panose1 w:val="03000509000000000000"/>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Arial" w:hAnsi="Arial" w:cs="Arial"/>
        <w:sz w:val="24"/>
        <w:szCs w:val="24"/>
      </w:rPr>
    </w:pP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Arial" w:hAnsi="Arial" w:cs="Arial"/>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FgAAAGRycy9QSwECFAAUAAAACACHTuJAaGmCS9MAAAAFAQAADwAAAAAAAAABACAAAAA4AAAA&#10;ZHJzL2Rvd25yZXYueG1sUEsBAhQAFAAAAAgAh07iQPDpHYq9AQAAXAMAAA4AAAAAAAAAAQAgAAAA&#10;OAEAAGRycy9lMm9Eb2MueG1sUEsFBgAAAAAGAAYAWQEAAGcFAAAAAA==&#10;">
              <v:fill on="f" focussize="0,0"/>
              <v:stroke on="f" weight="1.25pt"/>
              <v:imagedata o:title=""/>
              <o:lock v:ext="edit" aspectratio="f"/>
              <v:textbox inset="0mm,0mm,0mm,0mm" style="mso-fit-shape-to-text:t;">
                <w:txbxContent>
                  <w:p>
                    <w:pPr>
                      <w:pStyle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w:t>
                    </w:r>
                  </w:p>
                </w:txbxContent>
              </v:textbox>
            </v:shape>
          </w:pict>
        </mc:Fallback>
      </mc:AlternateContent>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186FA5"/>
    <w:multiLevelType w:val="singleLevel"/>
    <w:tmpl w:val="83186FA5"/>
    <w:lvl w:ilvl="0" w:tentative="0">
      <w:start w:val="1"/>
      <w:numFmt w:val="decimal"/>
      <w:suff w:val="nothing"/>
      <w:lvlText w:val="%1．"/>
      <w:lvlJc w:val="left"/>
      <w:pPr>
        <w:ind w:left="0" w:firstLine="400"/>
      </w:pPr>
      <w:rPr>
        <w:rFonts w:hint="default"/>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EEF37BD"/>
    <w:multiLevelType w:val="singleLevel"/>
    <w:tmpl w:val="EEEF37BD"/>
    <w:lvl w:ilvl="0" w:tentative="0">
      <w:start w:val="2"/>
      <w:numFmt w:val="chineseCounting"/>
      <w:suff w:val="nothing"/>
      <w:lvlText w:val="（%1）"/>
      <w:lvlJc w:val="left"/>
      <w:rPr>
        <w:rFonts w:hint="eastAsia"/>
      </w:rPr>
    </w:lvl>
  </w:abstractNum>
  <w:abstractNum w:abstractNumId="3">
    <w:nsid w:val="EEF94FAB"/>
    <w:multiLevelType w:val="singleLevel"/>
    <w:tmpl w:val="EEF94FAB"/>
    <w:lvl w:ilvl="0" w:tentative="0">
      <w:start w:val="5"/>
      <w:numFmt w:val="chineseCounting"/>
      <w:suff w:val="nothing"/>
      <w:lvlText w:val="%1、"/>
      <w:lvlJc w:val="left"/>
      <w:rPr>
        <w:rFonts w:hint="eastAsia"/>
      </w:rPr>
    </w:lvl>
  </w:abstractNum>
  <w:abstractNum w:abstractNumId="4">
    <w:nsid w:val="EF6F57EF"/>
    <w:multiLevelType w:val="singleLevel"/>
    <w:tmpl w:val="EF6F57EF"/>
    <w:lvl w:ilvl="0" w:tentative="0">
      <w:start w:val="4"/>
      <w:numFmt w:val="chineseCounting"/>
      <w:suff w:val="space"/>
      <w:lvlText w:val="第%1部分"/>
      <w:lvlJc w:val="left"/>
      <w:rPr>
        <w:rFonts w:hint="eastAsia"/>
      </w:rPr>
    </w:lvl>
  </w:abstractNum>
  <w:abstractNum w:abstractNumId="5">
    <w:nsid w:val="EFFE3852"/>
    <w:multiLevelType w:val="singleLevel"/>
    <w:tmpl w:val="EFFE3852"/>
    <w:lvl w:ilvl="0" w:tentative="0">
      <w:start w:val="5"/>
      <w:numFmt w:val="chineseCounting"/>
      <w:suff w:val="nothing"/>
      <w:lvlText w:val="%1、"/>
      <w:lvlJc w:val="left"/>
      <w:rPr>
        <w:rFonts w:hint="eastAsia"/>
      </w:rPr>
    </w:lvl>
  </w:abstractNum>
  <w:abstractNum w:abstractNumId="6">
    <w:nsid w:val="F7BE0870"/>
    <w:multiLevelType w:val="singleLevel"/>
    <w:tmpl w:val="F7BE0870"/>
    <w:lvl w:ilvl="0" w:tentative="0">
      <w:start w:val="1"/>
      <w:numFmt w:val="chineseCounting"/>
      <w:suff w:val="nothing"/>
      <w:lvlText w:val="（%1）"/>
      <w:lvlJc w:val="left"/>
      <w:pPr>
        <w:ind w:left="-10"/>
      </w:pPr>
      <w:rPr>
        <w:rFonts w:hint="eastAsia"/>
      </w:rPr>
    </w:lvl>
  </w:abstractNum>
  <w:abstractNum w:abstractNumId="7">
    <w:nsid w:val="FB63D1AC"/>
    <w:multiLevelType w:val="singleLevel"/>
    <w:tmpl w:val="FB63D1AC"/>
    <w:lvl w:ilvl="0" w:tentative="0">
      <w:start w:val="1"/>
      <w:numFmt w:val="chineseCounting"/>
      <w:suff w:val="nothing"/>
      <w:lvlText w:val="（%1）"/>
      <w:lvlJc w:val="left"/>
      <w:rPr>
        <w:rFonts w:hint="eastAsia"/>
      </w:rPr>
    </w:lvl>
  </w:abstractNum>
  <w:abstractNum w:abstractNumId="8">
    <w:nsid w:val="FCFA17E0"/>
    <w:multiLevelType w:val="singleLevel"/>
    <w:tmpl w:val="FCFA17E0"/>
    <w:lvl w:ilvl="0" w:tentative="0">
      <w:start w:val="2"/>
      <w:numFmt w:val="chineseCounting"/>
      <w:suff w:val="nothing"/>
      <w:lvlText w:val="（%1）"/>
      <w:lvlJc w:val="left"/>
      <w:pPr>
        <w:ind w:left="617"/>
      </w:pPr>
      <w:rPr>
        <w:rFonts w:hint="eastAsia"/>
      </w:rPr>
    </w:lvl>
  </w:abstractNum>
  <w:abstractNum w:abstractNumId="9">
    <w:nsid w:val="FEFE4F36"/>
    <w:multiLevelType w:val="singleLevel"/>
    <w:tmpl w:val="FEFE4F36"/>
    <w:lvl w:ilvl="0" w:tentative="0">
      <w:start w:val="5"/>
      <w:numFmt w:val="chineseCounting"/>
      <w:suff w:val="nothing"/>
      <w:lvlText w:val="%1、"/>
      <w:lvlJc w:val="left"/>
      <w:rPr>
        <w:rFonts w:hint="eastAsia"/>
      </w:rPr>
    </w:lvl>
  </w:abstractNum>
  <w:abstractNum w:abstractNumId="10">
    <w:nsid w:val="FEFEF204"/>
    <w:multiLevelType w:val="singleLevel"/>
    <w:tmpl w:val="FEFEF204"/>
    <w:lvl w:ilvl="0" w:tentative="0">
      <w:start w:val="1"/>
      <w:numFmt w:val="chineseCounting"/>
      <w:suff w:val="nothing"/>
      <w:lvlText w:val="%1、"/>
      <w:lvlJc w:val="left"/>
      <w:rPr>
        <w:rFonts w:hint="eastAsia"/>
      </w:rPr>
    </w:lvl>
  </w:abstractNum>
  <w:abstractNum w:abstractNumId="11">
    <w:nsid w:val="FFF674BC"/>
    <w:multiLevelType w:val="singleLevel"/>
    <w:tmpl w:val="FFF674BC"/>
    <w:lvl w:ilvl="0" w:tentative="0">
      <w:start w:val="1"/>
      <w:numFmt w:val="chineseCounting"/>
      <w:suff w:val="nothing"/>
      <w:lvlText w:val="%1、"/>
      <w:lvlJc w:val="left"/>
      <w:rPr>
        <w:rFonts w:hint="eastAsia"/>
      </w:rPr>
    </w:lvl>
  </w:abstractNum>
  <w:abstractNum w:abstractNumId="12">
    <w:nsid w:val="6D12271D"/>
    <w:multiLevelType w:val="singleLevel"/>
    <w:tmpl w:val="6D12271D"/>
    <w:lvl w:ilvl="0" w:tentative="0">
      <w:start w:val="1"/>
      <w:numFmt w:val="chineseCounting"/>
      <w:suff w:val="nothing"/>
      <w:lvlText w:val="%1、"/>
      <w:lvlJc w:val="left"/>
      <w:rPr>
        <w:rFonts w:hint="eastAsia"/>
      </w:rPr>
    </w:lvl>
  </w:abstractNum>
  <w:abstractNum w:abstractNumId="13">
    <w:nsid w:val="78FB5ED3"/>
    <w:multiLevelType w:val="singleLevel"/>
    <w:tmpl w:val="78FB5ED3"/>
    <w:lvl w:ilvl="0" w:tentative="0">
      <w:start w:val="1"/>
      <w:numFmt w:val="decimal"/>
      <w:suff w:val="nothing"/>
      <w:lvlText w:val="%1．"/>
      <w:lvlJc w:val="left"/>
      <w:pPr>
        <w:ind w:left="0" w:firstLine="400"/>
      </w:pPr>
      <w:rPr>
        <w:rFonts w:hint="default"/>
      </w:rPr>
    </w:lvl>
  </w:abstractNum>
  <w:num w:numId="1">
    <w:abstractNumId w:val="3"/>
  </w:num>
  <w:num w:numId="2">
    <w:abstractNumId w:val="2"/>
  </w:num>
  <w:num w:numId="3">
    <w:abstractNumId w:val="13"/>
  </w:num>
  <w:num w:numId="4">
    <w:abstractNumId w:val="1"/>
  </w:num>
  <w:num w:numId="5">
    <w:abstractNumId w:val="0"/>
  </w:num>
  <w:num w:numId="6">
    <w:abstractNumId w:val="4"/>
  </w:num>
  <w:num w:numId="7">
    <w:abstractNumId w:val="11"/>
  </w:num>
  <w:num w:numId="8">
    <w:abstractNumId w:val="7"/>
  </w:num>
  <w:num w:numId="9">
    <w:abstractNumId w:val="6"/>
  </w:num>
  <w:num w:numId="10">
    <w:abstractNumId w:val="10"/>
  </w:num>
  <w:num w:numId="11">
    <w:abstractNumId w:val="8"/>
  </w:num>
  <w:num w:numId="12">
    <w:abstractNumId w:val="9"/>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MzhjYTcxN2YxZGYyYmQ5ZDhlNmM4NDI3NmQzNmIifQ=="/>
  </w:docVars>
  <w:rsids>
    <w:rsidRoot w:val="7F3720F0"/>
    <w:rsid w:val="02126424"/>
    <w:rsid w:val="06AEC4B4"/>
    <w:rsid w:val="08393BA7"/>
    <w:rsid w:val="0871262C"/>
    <w:rsid w:val="0CF51947"/>
    <w:rsid w:val="0ED76E23"/>
    <w:rsid w:val="0F6F1AF3"/>
    <w:rsid w:val="0FED7751"/>
    <w:rsid w:val="0FFA5C25"/>
    <w:rsid w:val="11A454C7"/>
    <w:rsid w:val="1211658E"/>
    <w:rsid w:val="12A75CD9"/>
    <w:rsid w:val="136C64DB"/>
    <w:rsid w:val="174D067B"/>
    <w:rsid w:val="1767EC87"/>
    <w:rsid w:val="177D624C"/>
    <w:rsid w:val="19775AC2"/>
    <w:rsid w:val="198472B0"/>
    <w:rsid w:val="1CED452B"/>
    <w:rsid w:val="1E094AED"/>
    <w:rsid w:val="1F816607"/>
    <w:rsid w:val="1FD638AF"/>
    <w:rsid w:val="2131602D"/>
    <w:rsid w:val="253B256B"/>
    <w:rsid w:val="25F7554A"/>
    <w:rsid w:val="26E8081A"/>
    <w:rsid w:val="28BF09DE"/>
    <w:rsid w:val="290E3720"/>
    <w:rsid w:val="2A4E38F9"/>
    <w:rsid w:val="2D2E75B0"/>
    <w:rsid w:val="2DFFB035"/>
    <w:rsid w:val="2EDED04D"/>
    <w:rsid w:val="2EFA7E4F"/>
    <w:rsid w:val="2FF6F5E7"/>
    <w:rsid w:val="2FFE765E"/>
    <w:rsid w:val="33548B2C"/>
    <w:rsid w:val="33CB2D29"/>
    <w:rsid w:val="368E4F3A"/>
    <w:rsid w:val="3A2B43BC"/>
    <w:rsid w:val="3B15796E"/>
    <w:rsid w:val="3BFF151B"/>
    <w:rsid w:val="3CBF23F6"/>
    <w:rsid w:val="3D7E3CA7"/>
    <w:rsid w:val="3DEC1C86"/>
    <w:rsid w:val="3DEDEA75"/>
    <w:rsid w:val="3E9F7F53"/>
    <w:rsid w:val="3F6F2574"/>
    <w:rsid w:val="3FDD74E9"/>
    <w:rsid w:val="3FE74985"/>
    <w:rsid w:val="3FEF6C8B"/>
    <w:rsid w:val="3FF3D470"/>
    <w:rsid w:val="3FF65578"/>
    <w:rsid w:val="3FFF84F9"/>
    <w:rsid w:val="43FF94FA"/>
    <w:rsid w:val="447F5D46"/>
    <w:rsid w:val="44DFC1DC"/>
    <w:rsid w:val="45572B91"/>
    <w:rsid w:val="48AD79E8"/>
    <w:rsid w:val="49402257"/>
    <w:rsid w:val="499C2DA3"/>
    <w:rsid w:val="4DFF015C"/>
    <w:rsid w:val="4ED24BF2"/>
    <w:rsid w:val="4FDCB2AA"/>
    <w:rsid w:val="4FFF26C8"/>
    <w:rsid w:val="50C20B64"/>
    <w:rsid w:val="50E373F7"/>
    <w:rsid w:val="51DF1DD9"/>
    <w:rsid w:val="54DB083B"/>
    <w:rsid w:val="56893385"/>
    <w:rsid w:val="56EB3FA6"/>
    <w:rsid w:val="57B4EB9F"/>
    <w:rsid w:val="57D3E111"/>
    <w:rsid w:val="57DE9368"/>
    <w:rsid w:val="59B74B14"/>
    <w:rsid w:val="5A424A86"/>
    <w:rsid w:val="5B3DA263"/>
    <w:rsid w:val="5B861F55"/>
    <w:rsid w:val="5B941DAD"/>
    <w:rsid w:val="5BCE3576"/>
    <w:rsid w:val="5BD631BA"/>
    <w:rsid w:val="5BFBB8B5"/>
    <w:rsid w:val="5DA865A8"/>
    <w:rsid w:val="5EFC929B"/>
    <w:rsid w:val="5F5DAC2C"/>
    <w:rsid w:val="5FF73C8D"/>
    <w:rsid w:val="5FFBDA31"/>
    <w:rsid w:val="5FFF4FC9"/>
    <w:rsid w:val="637FDA01"/>
    <w:rsid w:val="6745C536"/>
    <w:rsid w:val="67BFEC6A"/>
    <w:rsid w:val="67E873BF"/>
    <w:rsid w:val="67FF0912"/>
    <w:rsid w:val="67FFAAE9"/>
    <w:rsid w:val="686B3F10"/>
    <w:rsid w:val="69480CB5"/>
    <w:rsid w:val="6A970118"/>
    <w:rsid w:val="6AAF03FE"/>
    <w:rsid w:val="6C7FB782"/>
    <w:rsid w:val="6D54DC25"/>
    <w:rsid w:val="6ECE9107"/>
    <w:rsid w:val="6F3E886A"/>
    <w:rsid w:val="6F4F5B18"/>
    <w:rsid w:val="6F67F04C"/>
    <w:rsid w:val="6FCA2D2B"/>
    <w:rsid w:val="6FCF8C37"/>
    <w:rsid w:val="6FE0FA25"/>
    <w:rsid w:val="733D60BC"/>
    <w:rsid w:val="7397F338"/>
    <w:rsid w:val="73E4502A"/>
    <w:rsid w:val="73F6C9AD"/>
    <w:rsid w:val="73FB36D9"/>
    <w:rsid w:val="74550902"/>
    <w:rsid w:val="75FA536C"/>
    <w:rsid w:val="75FF744B"/>
    <w:rsid w:val="75FFB3A6"/>
    <w:rsid w:val="75FFC324"/>
    <w:rsid w:val="75FFEF43"/>
    <w:rsid w:val="767EFC8C"/>
    <w:rsid w:val="76BF0AF5"/>
    <w:rsid w:val="76DF06D9"/>
    <w:rsid w:val="76EE0A8A"/>
    <w:rsid w:val="77558D02"/>
    <w:rsid w:val="77BF6A30"/>
    <w:rsid w:val="77E164A6"/>
    <w:rsid w:val="77EF026D"/>
    <w:rsid w:val="77FD9581"/>
    <w:rsid w:val="77FFF1D6"/>
    <w:rsid w:val="78176D2A"/>
    <w:rsid w:val="795229CA"/>
    <w:rsid w:val="795D8776"/>
    <w:rsid w:val="7974FA7B"/>
    <w:rsid w:val="79DDF0E9"/>
    <w:rsid w:val="7A272045"/>
    <w:rsid w:val="7ABF3DD5"/>
    <w:rsid w:val="7ADF18CF"/>
    <w:rsid w:val="7B7FD141"/>
    <w:rsid w:val="7CD00437"/>
    <w:rsid w:val="7D4F9BE2"/>
    <w:rsid w:val="7D6FCA88"/>
    <w:rsid w:val="7DFD9EF8"/>
    <w:rsid w:val="7E77FAB1"/>
    <w:rsid w:val="7E7AA8B1"/>
    <w:rsid w:val="7E8F3F94"/>
    <w:rsid w:val="7EDB3F6F"/>
    <w:rsid w:val="7EEEF4C6"/>
    <w:rsid w:val="7EFF8878"/>
    <w:rsid w:val="7F3720F0"/>
    <w:rsid w:val="7F5B7482"/>
    <w:rsid w:val="7F736EED"/>
    <w:rsid w:val="7F7FF874"/>
    <w:rsid w:val="7F97A750"/>
    <w:rsid w:val="7F9F959F"/>
    <w:rsid w:val="7FAA0F67"/>
    <w:rsid w:val="7FABAAF2"/>
    <w:rsid w:val="7FB53B08"/>
    <w:rsid w:val="7FD7EC35"/>
    <w:rsid w:val="7FDBE942"/>
    <w:rsid w:val="7FDF2B09"/>
    <w:rsid w:val="7FDF4A2C"/>
    <w:rsid w:val="7FDF82F6"/>
    <w:rsid w:val="7FE1FBEC"/>
    <w:rsid w:val="7FEC7013"/>
    <w:rsid w:val="7FEDBAE1"/>
    <w:rsid w:val="7FEF1112"/>
    <w:rsid w:val="7FEF220D"/>
    <w:rsid w:val="7FEF374F"/>
    <w:rsid w:val="7FF73E9A"/>
    <w:rsid w:val="7FFE92FB"/>
    <w:rsid w:val="7FFEA3E0"/>
    <w:rsid w:val="7FFF8DB6"/>
    <w:rsid w:val="7FFFDC84"/>
    <w:rsid w:val="97BDE161"/>
    <w:rsid w:val="995731F1"/>
    <w:rsid w:val="99DF0E89"/>
    <w:rsid w:val="9B7F7452"/>
    <w:rsid w:val="9F7F1103"/>
    <w:rsid w:val="9FFD683A"/>
    <w:rsid w:val="A7FD0564"/>
    <w:rsid w:val="A7FEBE67"/>
    <w:rsid w:val="A87CC160"/>
    <w:rsid w:val="A9DE10F0"/>
    <w:rsid w:val="AF1775A6"/>
    <w:rsid w:val="AF79F247"/>
    <w:rsid w:val="B377083D"/>
    <w:rsid w:val="B3B3E66C"/>
    <w:rsid w:val="B73FAD46"/>
    <w:rsid w:val="BAFFFB6F"/>
    <w:rsid w:val="BBD31FC3"/>
    <w:rsid w:val="BBDF79C6"/>
    <w:rsid w:val="BBEF3CEE"/>
    <w:rsid w:val="BBFD5397"/>
    <w:rsid w:val="BD5B815B"/>
    <w:rsid w:val="BE8E0083"/>
    <w:rsid w:val="C1EE7A13"/>
    <w:rsid w:val="C7F6A33D"/>
    <w:rsid w:val="CCD308FE"/>
    <w:rsid w:val="CEFB2F54"/>
    <w:rsid w:val="CF267801"/>
    <w:rsid w:val="CFCDAD70"/>
    <w:rsid w:val="D576E47D"/>
    <w:rsid w:val="D9B77199"/>
    <w:rsid w:val="DBBFA632"/>
    <w:rsid w:val="DBCDFD6B"/>
    <w:rsid w:val="DCF770AA"/>
    <w:rsid w:val="DD1EC1E3"/>
    <w:rsid w:val="DEB7B66D"/>
    <w:rsid w:val="DEBF9BEA"/>
    <w:rsid w:val="DFBFBF50"/>
    <w:rsid w:val="DFEF2E1F"/>
    <w:rsid w:val="E3FFAC2E"/>
    <w:rsid w:val="E4E4E6FA"/>
    <w:rsid w:val="E5FF9B27"/>
    <w:rsid w:val="E6983608"/>
    <w:rsid w:val="E87D81F4"/>
    <w:rsid w:val="EA59EC1F"/>
    <w:rsid w:val="EBBFD11A"/>
    <w:rsid w:val="ED7367FF"/>
    <w:rsid w:val="EDBF50E5"/>
    <w:rsid w:val="EDFEE5A0"/>
    <w:rsid w:val="EE993AFD"/>
    <w:rsid w:val="EFE0A343"/>
    <w:rsid w:val="EFFF2B3B"/>
    <w:rsid w:val="EFFF667C"/>
    <w:rsid w:val="F2B5C160"/>
    <w:rsid w:val="F2C32AA8"/>
    <w:rsid w:val="F31DFC49"/>
    <w:rsid w:val="F3FC2F20"/>
    <w:rsid w:val="F5DE3122"/>
    <w:rsid w:val="F63FEB23"/>
    <w:rsid w:val="F6FE84F9"/>
    <w:rsid w:val="F7BCBBE3"/>
    <w:rsid w:val="F7F7109D"/>
    <w:rsid w:val="F8BD4318"/>
    <w:rsid w:val="FB5DEA51"/>
    <w:rsid w:val="FBBE0E9E"/>
    <w:rsid w:val="FBFB4161"/>
    <w:rsid w:val="FBFC4584"/>
    <w:rsid w:val="FD3E1C31"/>
    <w:rsid w:val="FDBEED8B"/>
    <w:rsid w:val="FEAE7004"/>
    <w:rsid w:val="FEF6583F"/>
    <w:rsid w:val="FF7F5B15"/>
    <w:rsid w:val="FF7FAD2B"/>
    <w:rsid w:val="FF8C5303"/>
    <w:rsid w:val="FFBD924D"/>
    <w:rsid w:val="FFF340D0"/>
    <w:rsid w:val="FFFBF10D"/>
    <w:rsid w:val="FFFFA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rPr>
      <w:rFonts w:eastAsia="仿宋_GB2312"/>
      <w:sz w:val="32"/>
      <w:szCs w:val="20"/>
    </w:rPr>
  </w:style>
  <w:style w:type="paragraph" w:styleId="5">
    <w:name w:val="index 5"/>
    <w:basedOn w:val="1"/>
    <w:next w:val="1"/>
    <w:qFormat/>
    <w:uiPriority w:val="0"/>
    <w:pPr>
      <w:widowControl w:val="0"/>
      <w:spacing w:line="360" w:lineRule="auto"/>
      <w:ind w:left="1680" w:firstLine="200" w:firstLineChars="200"/>
      <w:jc w:val="left"/>
    </w:pPr>
    <w:rPr>
      <w:rFonts w:ascii="方正黑体_GBK" w:eastAsia="方正黑体_GBK" w:cs="Times New Roman"/>
      <w:kern w:val="2"/>
      <w:sz w:val="32"/>
      <w:szCs w:val="32"/>
      <w:lang w:val="en-US" w:eastAsia="zh-CN" w:bidi="ar-SA"/>
    </w:rPr>
  </w:style>
  <w:style w:type="paragraph" w:styleId="6">
    <w:name w:val="Body Text"/>
    <w:basedOn w:val="1"/>
    <w:qFormat/>
    <w:uiPriority w:val="0"/>
    <w:pPr>
      <w:widowControl/>
      <w:spacing w:before="100" w:beforeAutospacing="1" w:after="100" w:afterAutospacing="1"/>
      <w:jc w:val="left"/>
    </w:pPr>
    <w:rPr>
      <w:rFonts w:ascii="宋体" w:hAnsi="宋体" w:cs="宋体"/>
      <w:kern w:val="0"/>
      <w:sz w:val="24"/>
    </w:rPr>
  </w:style>
  <w:style w:type="paragraph" w:styleId="7">
    <w:name w:val="Body Text Indent"/>
    <w:basedOn w:val="1"/>
    <w:qFormat/>
    <w:uiPriority w:val="0"/>
    <w:pPr>
      <w:spacing w:after="120"/>
      <w:ind w:leftChars="200"/>
    </w:pPr>
    <w:rPr>
      <w:rFonts w:ascii="仿宋_GB2312"/>
      <w:szCs w:val="32"/>
    </w:rPr>
  </w:style>
  <w:style w:type="paragraph" w:styleId="8">
    <w:name w:val="Plain Text"/>
    <w:basedOn w:val="1"/>
    <w:qFormat/>
    <w:uiPriority w:val="0"/>
    <w:pPr>
      <w:suppressAutoHyphens w:val="0"/>
    </w:pPr>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2"/>
    <w:basedOn w:val="7"/>
    <w:next w:val="1"/>
    <w:unhideWhenUsed/>
    <w:qFormat/>
    <w:uiPriority w:val="99"/>
    <w:pPr>
      <w:ind w:firstLine="420" w:firstLineChars="200"/>
    </w:pPr>
  </w:style>
  <w:style w:type="character" w:styleId="18">
    <w:name w:val="Strong"/>
    <w:basedOn w:val="17"/>
    <w:qFormat/>
    <w:uiPriority w:val="99"/>
    <w:rPr>
      <w:b/>
    </w:rPr>
  </w:style>
  <w:style w:type="character" w:styleId="19">
    <w:name w:val="Emphasis"/>
    <w:basedOn w:val="17"/>
    <w:qFormat/>
    <w:uiPriority w:val="0"/>
    <w:rPr>
      <w:i/>
    </w:rPr>
  </w:style>
  <w:style w:type="character" w:customStyle="1" w:styleId="20">
    <w:name w:val="标题 1 Char"/>
    <w:basedOn w:val="17"/>
    <w:link w:val="3"/>
    <w:qFormat/>
    <w:uiPriority w:val="9"/>
    <w:rPr>
      <w:b/>
      <w:bCs/>
      <w:kern w:val="44"/>
      <w:sz w:val="44"/>
      <w:szCs w:val="44"/>
    </w:rPr>
  </w:style>
  <w:style w:type="character" w:customStyle="1" w:styleId="21">
    <w:name w:val="标题 2 Char"/>
    <w:basedOn w:val="17"/>
    <w:link w:val="4"/>
    <w:qFormat/>
    <w:uiPriority w:val="9"/>
    <w:rPr>
      <w:rFonts w:ascii="Cambria" w:hAnsi="Cambria" w:eastAsia="宋体" w:cs="Times New Roman"/>
      <w:b/>
      <w:bCs/>
      <w:sz w:val="32"/>
      <w:szCs w:val="32"/>
    </w:rPr>
  </w:style>
  <w:style w:type="paragraph" w:styleId="22">
    <w:name w:val="List Paragraph"/>
    <w:basedOn w:val="1"/>
    <w:qFormat/>
    <w:uiPriority w:val="34"/>
    <w:pPr>
      <w:ind w:firstLine="420" w:firstLineChars="200"/>
    </w:pPr>
  </w:style>
  <w:style w:type="character" w:customStyle="1" w:styleId="23">
    <w:name w:val="font91"/>
    <w:basedOn w:val="17"/>
    <w:qFormat/>
    <w:uiPriority w:val="0"/>
    <w:rPr>
      <w:rFonts w:ascii="Arial" w:hAnsi="Arial" w:cs="Arial"/>
      <w:color w:val="000000"/>
      <w:sz w:val="18"/>
      <w:szCs w:val="18"/>
      <w:u w:val="none"/>
    </w:rPr>
  </w:style>
  <w:style w:type="character" w:customStyle="1" w:styleId="24">
    <w:name w:val="font51"/>
    <w:basedOn w:val="17"/>
    <w:qFormat/>
    <w:uiPriority w:val="0"/>
    <w:rPr>
      <w:rFonts w:hint="default" w:ascii="黑体" w:hAnsi="黑体" w:eastAsia="黑体" w:cs="黑体"/>
      <w:color w:val="000000"/>
      <w:sz w:val="18"/>
      <w:szCs w:val="18"/>
      <w:u w:val="none"/>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 w:type="paragraph" w:customStyle="1" w:styleId="27">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28">
    <w:name w:val="四号正文"/>
    <w:basedOn w:val="1"/>
    <w:qFormat/>
    <w:uiPriority w:val="0"/>
    <w:pPr>
      <w:spacing w:line="360" w:lineRule="auto"/>
    </w:pPr>
    <w:rPr>
      <w:rFonts w:ascii="??" w:hAnsi="??" w:eastAsia="宋体"/>
      <w:color w:val="000000"/>
      <w:kern w:val="0"/>
      <w:sz w:val="28"/>
      <w:szCs w:val="21"/>
      <w:lang w:val="zh-CN" w:eastAsia="zh-CN"/>
    </w:rPr>
  </w:style>
  <w:style w:type="paragraph" w:customStyle="1" w:styleId="29">
    <w:name w:val="正文2"/>
    <w:basedOn w:val="1"/>
    <w:next w:val="1"/>
    <w:qFormat/>
    <w:uiPriority w:val="0"/>
  </w:style>
  <w:style w:type="character" w:customStyle="1" w:styleId="30">
    <w:name w:val="font71"/>
    <w:basedOn w:val="17"/>
    <w:qFormat/>
    <w:uiPriority w:val="0"/>
    <w:rPr>
      <w:rFonts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Sheet1!#REF!</c:f>
              <c:strCache>
                <c:ptCount val="1"/>
                <c:pt idx="0">
                  <c:v/>
                </c:pt>
              </c:strCache>
            </c:strRef>
          </c:tx>
          <c:spPr>
            <a:solidFill>
              <a:schemeClr val="accent1"/>
            </a:solidFill>
            <a:ln>
              <a:noFill/>
            </a:ln>
            <a:effectLst/>
          </c:spPr>
          <c:invertIfNegative val="false"/>
          <c:dLbls>
            <c:delete val="true"/>
          </c:dLbls>
          <c:cat>
            <c:strRef>
              <c:f>Sheet1!$A$1:$A$2</c:f>
              <c:strCache>
                <c:ptCount val="2"/>
                <c:pt idx="0">
                  <c:v>2022年</c:v>
                </c:pt>
                <c:pt idx="1">
                  <c:v>2023年</c:v>
                </c:pt>
              </c:strCache>
            </c:strRef>
          </c:cat>
          <c:val>
            <c:numRef>
              <c:f>Sheet1!$B$1:$B$2</c:f>
              <c:numCache>
                <c:formatCode>General</c:formatCode>
                <c:ptCount val="2"/>
                <c:pt idx="0">
                  <c:v>522.06</c:v>
                </c:pt>
                <c:pt idx="1">
                  <c:v>528.67</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577841591"/>
        <c:axId val="320846604"/>
      </c:barChart>
      <c:catAx>
        <c:axId val="57784159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0846604"/>
        <c:crosses val="autoZero"/>
        <c:auto val="true"/>
        <c:lblAlgn val="ctr"/>
        <c:lblOffset val="100"/>
        <c:noMultiLvlLbl val="false"/>
      </c:catAx>
      <c:valAx>
        <c:axId val="32084660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77841591"/>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2023年收入</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elete val="true"/>
          </c:dLbls>
          <c:cat>
            <c:strRef>
              <c:f>Sheet1!$A$2:$A$3</c:f>
              <c:strCache>
                <c:ptCount val="2"/>
                <c:pt idx="0">
                  <c:v>一般公共预算财政拨款</c:v>
                </c:pt>
                <c:pt idx="1">
                  <c:v>其他收入</c:v>
                </c:pt>
              </c:strCache>
            </c:strRef>
          </c:cat>
          <c:val>
            <c:numRef>
              <c:f>Sheet1!$B$2:$B$3</c:f>
              <c:numCache>
                <c:formatCode>General</c:formatCode>
                <c:ptCount val="2"/>
                <c:pt idx="0">
                  <c:v>519.19</c:v>
                </c:pt>
                <c:pt idx="1">
                  <c:v>0.57</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2023年支出</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elete val="true"/>
          </c:dLbls>
          <c:cat>
            <c:strRef>
              <c:f>Sheet1!$A$2:$A$3</c:f>
              <c:strCache>
                <c:ptCount val="2"/>
                <c:pt idx="0">
                  <c:v>基本支出</c:v>
                </c:pt>
                <c:pt idx="1">
                  <c:v>项目支出</c:v>
                </c:pt>
              </c:strCache>
            </c:strRef>
          </c:cat>
          <c:val>
            <c:numRef>
              <c:f>Sheet1!$B$2:$B$3</c:f>
              <c:numCache>
                <c:formatCode>General</c:formatCode>
                <c:ptCount val="2"/>
                <c:pt idx="0">
                  <c:v>443.53</c:v>
                </c:pt>
                <c:pt idx="1">
                  <c:v>84.66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Sheet1!#REF!</c:f>
              <c:strCache>
                <c:ptCount val="1"/>
                <c:pt idx="0">
                  <c:v/>
                </c:pt>
              </c:strCache>
            </c:strRef>
          </c:tx>
          <c:spPr>
            <a:solidFill>
              <a:schemeClr val="accent1"/>
            </a:solidFill>
            <a:ln>
              <a:noFill/>
            </a:ln>
            <a:effectLst/>
          </c:spPr>
          <c:invertIfNegative val="false"/>
          <c:dLbls>
            <c:delete val="true"/>
          </c:dLbls>
          <c:cat>
            <c:strRef>
              <c:f>Sheet1!$A$1:$A$2</c:f>
              <c:strCache>
                <c:ptCount val="2"/>
                <c:pt idx="0">
                  <c:v>2022年</c:v>
                </c:pt>
                <c:pt idx="1">
                  <c:v>2023年</c:v>
                </c:pt>
              </c:strCache>
            </c:strRef>
          </c:cat>
          <c:val>
            <c:numRef>
              <c:f>Sheet1!$B$1:$B$2</c:f>
              <c:numCache>
                <c:formatCode>General</c:formatCode>
                <c:ptCount val="2"/>
                <c:pt idx="0">
                  <c:v>500.12</c:v>
                </c:pt>
                <c:pt idx="1">
                  <c:v>518.63</c:v>
                </c:pt>
              </c:numCache>
            </c:numRef>
          </c:val>
        </c:ser>
        <c:ser>
          <c:idx val="1"/>
          <c:order val="1"/>
          <c:tx>
            <c:strRef>
              <c:f>Sheet1!#REF!</c:f>
              <c:strCache>
                <c:ptCount val="1"/>
                <c:pt idx="0">
                  <c:v/>
                </c:pt>
              </c:strCache>
            </c:strRef>
          </c:tx>
          <c:spPr>
            <a:solidFill>
              <a:schemeClr val="accent2"/>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Sheet1!$A$1:$A$2</c:f>
              <c:strCache>
                <c:ptCount val="2"/>
                <c:pt idx="0">
                  <c:v>2022年</c:v>
                </c:pt>
                <c:pt idx="1">
                  <c:v>2023年</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19"/>
        <c:overlap val="-27"/>
        <c:axId val="577841591"/>
        <c:axId val="320846604"/>
      </c:barChart>
      <c:catAx>
        <c:axId val="577841591"/>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20846604"/>
        <c:crosses val="autoZero"/>
        <c:auto val="true"/>
        <c:lblAlgn val="ctr"/>
        <c:lblOffset val="100"/>
        <c:noMultiLvlLbl val="false"/>
      </c:catAx>
      <c:valAx>
        <c:axId val="32084660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77841591"/>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barChart>
        <c:barDir val="col"/>
        <c:grouping val="clustered"/>
        <c:varyColors val="false"/>
        <c:ser>
          <c:idx val="0"/>
          <c:order val="0"/>
          <c:tx>
            <c:strRef>
              <c:f>Sheet1!$A$1</c:f>
              <c:strCache>
                <c:ptCount val="1"/>
                <c:pt idx="0">
                  <c:v>2023年</c:v>
                </c:pt>
              </c:strCache>
            </c:strRef>
          </c:tx>
          <c:spPr>
            <a:solidFill>
              <a:schemeClr val="accent1"/>
            </a:solidFill>
            <a:ln>
              <a:noFill/>
            </a:ln>
            <a:effectLst/>
          </c:spPr>
          <c:invertIfNegative val="false"/>
          <c:dLbls>
            <c:delete val="true"/>
          </c:dLbls>
          <c:cat>
            <c:numRef>
              <c:f>Sheet1!#REF!</c:f>
              <c:numCache>
                <c:formatCode>General</c:formatCode>
                <c:ptCount val="3"/>
              </c:numCache>
            </c:numRef>
          </c:cat>
          <c:val>
            <c:numRef>
              <c:f>Sheet1!$A$2:$A$4</c:f>
              <c:numCache>
                <c:formatCode>General</c:formatCode>
                <c:ptCount val="3"/>
                <c:pt idx="0">
                  <c:v>528.67</c:v>
                </c:pt>
              </c:numCache>
            </c:numRef>
          </c:val>
        </c:ser>
        <c:ser>
          <c:idx val="1"/>
          <c:order val="1"/>
          <c:tx>
            <c:strRef>
              <c:f>Sheet1!$B$1</c:f>
              <c:strCache>
                <c:ptCount val="1"/>
                <c:pt idx="0">
                  <c:v>2022年</c:v>
                </c:pt>
              </c:strCache>
            </c:strRef>
          </c:tx>
          <c:spPr>
            <a:solidFill>
              <a:schemeClr val="accent2"/>
            </a:solidFill>
            <a:ln>
              <a:noFill/>
            </a:ln>
            <a:effectLst/>
          </c:spPr>
          <c:invertIfNegative val="false"/>
          <c:dLbls>
            <c:delete val="true"/>
          </c:dLbls>
          <c:cat>
            <c:numRef>
              <c:f>Sheet1!#REF!</c:f>
              <c:numCache>
                <c:formatCode>General</c:formatCode>
                <c:ptCount val="3"/>
              </c:numCache>
            </c:numRef>
          </c:cat>
          <c:val>
            <c:numRef>
              <c:f>Sheet1!$B$2:$B$4</c:f>
              <c:numCache>
                <c:formatCode>General</c:formatCode>
                <c:ptCount val="3"/>
                <c:pt idx="0">
                  <c:v>500.12</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numRef>
              <c:f>Sheet1!#REF!</c:f>
              <c:numCache>
                <c:formatCode>General</c:formatCode>
                <c:ptCount val="3"/>
              </c:numCache>
            </c:num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150"/>
        <c:overlap val="0"/>
        <c:axId val="312416718"/>
        <c:axId val="337590943"/>
      </c:barChart>
      <c:catAx>
        <c:axId val="31241671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37590943"/>
        <c:crosses val="autoZero"/>
        <c:auto val="true"/>
        <c:lblAlgn val="ctr"/>
        <c:lblOffset val="100"/>
        <c:noMultiLvlLbl val="false"/>
      </c:catAx>
      <c:valAx>
        <c:axId val="337590943"/>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12416718"/>
        <c:crosses val="autoZero"/>
        <c:crossBetween val="between"/>
      </c:valAx>
      <c:spPr>
        <a:noFill/>
        <a:ln>
          <a:noFill/>
        </a:ln>
        <a:effectLst/>
      </c:spPr>
    </c:plotArea>
    <c:legend>
      <c:legendPos val="b"/>
      <c:legendEntry>
        <c:idx val="2"/>
        <c:delete val="true"/>
      </c:legendEntry>
      <c:layout>
        <c:manualLayout>
          <c:xMode val="edge"/>
          <c:yMode val="edge"/>
          <c:x val="0.2885625"/>
          <c:y val="0.9245"/>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一般公共服务支出</c:v>
                </c:pt>
                <c:pt idx="1">
                  <c:v>社会保障和就业支出</c:v>
                </c:pt>
                <c:pt idx="2">
                  <c:v>卫生健康支出</c:v>
                </c:pt>
                <c:pt idx="3">
                  <c:v>住房保障支出</c:v>
                </c:pt>
              </c:strCache>
            </c:strRef>
          </c:cat>
          <c:val>
            <c:numRef>
              <c:f>Sheet1!$B$2:$B$5</c:f>
              <c:numCache>
                <c:formatCode>General</c:formatCode>
                <c:ptCount val="4"/>
                <c:pt idx="0">
                  <c:v>359.93</c:v>
                </c:pt>
                <c:pt idx="1">
                  <c:v>112.06</c:v>
                </c:pt>
                <c:pt idx="2">
                  <c:v>13.14</c:v>
                </c:pt>
                <c:pt idx="3">
                  <c:v>33.5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0%</c:formatCode>
                <c:ptCount val="3"/>
                <c:pt idx="0">
                  <c:v>0</c:v>
                </c:pt>
                <c:pt idx="1">
                  <c:v>0</c:v>
                </c:pt>
                <c:pt idx="2">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21054</Words>
  <Characters>22104</Characters>
  <Lines>0</Lines>
  <Paragraphs>0</Paragraphs>
  <TotalTime>86</TotalTime>
  <ScaleCrop>false</ScaleCrop>
  <LinksUpToDate>false</LinksUpToDate>
  <CharactersWithSpaces>22238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2024-03-09T02:44:00Z</dcterms:created>
  <dc:creator>川川</dc:creator>
  <cp:lastModifiedBy> </cp:lastModifiedBy>
  <cp:lastPrinted>2024-09-10T11:43:00Z</cp:lastPrinted>
  <dcterms:modified xsi:type="dcterms:W3CDTF">2024-10-08T16:55:57Z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9719E9508330EE441AF2D566101EA631_43</vt:lpwstr>
  </property>
</Properties>
</file>